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D7531E" w14:textId="77777777" w:rsidR="002B083C" w:rsidRPr="00AA1497" w:rsidRDefault="002B083C" w:rsidP="002B083C">
      <w:pPr>
        <w:spacing w:line="240" w:lineRule="auto"/>
        <w:jc w:val="center"/>
        <w:rPr>
          <w:rFonts w:eastAsia="Times New Roman"/>
          <w:b/>
          <w:sz w:val="20"/>
          <w:szCs w:val="20"/>
        </w:rPr>
      </w:pPr>
      <w:r w:rsidRPr="00AA1497">
        <w:rPr>
          <w:rFonts w:eastAsia="Times New Roman"/>
          <w:b/>
          <w:sz w:val="20"/>
          <w:szCs w:val="20"/>
        </w:rPr>
        <w:t>Principa “Nenodarīt būtisku kaitējumu” novērtējums</w:t>
      </w:r>
    </w:p>
    <w:p w14:paraId="489CB217" w14:textId="43A302A9" w:rsidR="002B083C" w:rsidRPr="00AA1497" w:rsidRDefault="002B083C" w:rsidP="002B083C">
      <w:pPr>
        <w:spacing w:line="240" w:lineRule="auto"/>
        <w:jc w:val="center"/>
        <w:rPr>
          <w:rFonts w:eastAsia="Times New Roman"/>
          <w:b/>
          <w:sz w:val="20"/>
          <w:szCs w:val="20"/>
        </w:rPr>
      </w:pPr>
      <w:r w:rsidRPr="00AA1497">
        <w:rPr>
          <w:rFonts w:eastAsia="Times New Roman"/>
          <w:b/>
          <w:sz w:val="20"/>
          <w:szCs w:val="20"/>
        </w:rPr>
        <w:t>2.1.1.</w:t>
      </w:r>
      <w:r w:rsidR="006C2A49" w:rsidRPr="00AA1497">
        <w:rPr>
          <w:rFonts w:eastAsia="Times New Roman"/>
          <w:b/>
          <w:sz w:val="20"/>
          <w:szCs w:val="20"/>
        </w:rPr>
        <w:t xml:space="preserve">SAM </w:t>
      </w:r>
      <w:r w:rsidRPr="00AA1497">
        <w:rPr>
          <w:rFonts w:eastAsia="Times New Roman"/>
          <w:b/>
          <w:sz w:val="20"/>
          <w:szCs w:val="20"/>
        </w:rPr>
        <w:t xml:space="preserve">“Energoefektivitātes veicināšana un siltumnīcefekta gāzu emisiju samazināšana” </w:t>
      </w:r>
    </w:p>
    <w:p w14:paraId="3E68F080" w14:textId="685D219B" w:rsidR="002B083C" w:rsidRPr="00AA1497" w:rsidRDefault="002B083C" w:rsidP="002B083C">
      <w:pPr>
        <w:spacing w:line="240" w:lineRule="auto"/>
        <w:jc w:val="center"/>
        <w:rPr>
          <w:rFonts w:eastAsia="Times New Roman"/>
          <w:b/>
          <w:sz w:val="20"/>
          <w:szCs w:val="20"/>
        </w:rPr>
      </w:pPr>
      <w:r w:rsidRPr="00AA1497">
        <w:rPr>
          <w:rFonts w:eastAsia="Times New Roman"/>
          <w:b/>
          <w:sz w:val="20"/>
          <w:szCs w:val="20"/>
        </w:rPr>
        <w:t>2.1.1.1.</w:t>
      </w:r>
      <w:r w:rsidR="006C2A49" w:rsidRPr="00AA1497">
        <w:rPr>
          <w:rFonts w:eastAsia="Times New Roman"/>
          <w:b/>
          <w:sz w:val="20"/>
          <w:szCs w:val="20"/>
        </w:rPr>
        <w:t>pasākumam</w:t>
      </w:r>
      <w:r w:rsidRPr="00AA1497">
        <w:rPr>
          <w:rFonts w:eastAsia="Times New Roman"/>
          <w:b/>
          <w:sz w:val="20"/>
          <w:szCs w:val="20"/>
        </w:rPr>
        <w:t xml:space="preserve"> “Energoefektivitātes paaugstināšana dzīvojamās ēkās, t.sk. attīstot ESKO tirgu (daudzīvokļu, privātās un neliela dzīvokļu skaita ēku kompleksos)”</w:t>
      </w:r>
    </w:p>
    <w:p w14:paraId="5ADF37AA" w14:textId="37993A27" w:rsidR="002B083C" w:rsidRPr="00AA1497" w:rsidRDefault="002B083C" w:rsidP="002B083C">
      <w:pPr>
        <w:spacing w:line="240" w:lineRule="auto"/>
        <w:jc w:val="center"/>
        <w:rPr>
          <w:rFonts w:eastAsia="Times New Roman"/>
          <w:b/>
          <w:sz w:val="20"/>
          <w:szCs w:val="20"/>
        </w:rPr>
      </w:pPr>
      <w:r w:rsidRPr="00AA1497">
        <w:rPr>
          <w:rFonts w:eastAsia="Times New Roman"/>
          <w:b/>
          <w:sz w:val="20"/>
          <w:szCs w:val="20"/>
        </w:rPr>
        <w:t>(AF investīcija 1.2.1.1.i Daudzdzīvokļu māju energoefektivitātes uzlabošana un pāreja uz atjaunojamo energoresursu tehnoloģiju izmantošanu)</w:t>
      </w:r>
    </w:p>
    <w:p w14:paraId="40675471" w14:textId="77777777" w:rsidR="002B083C" w:rsidRPr="00AA1497" w:rsidRDefault="002B083C" w:rsidP="002B083C">
      <w:pPr>
        <w:spacing w:line="240" w:lineRule="auto"/>
        <w:jc w:val="center"/>
        <w:rPr>
          <w:rFonts w:eastAsia="Times New Roman"/>
          <w:b/>
          <w:sz w:val="20"/>
          <w:szCs w:val="20"/>
        </w:rPr>
      </w:pPr>
    </w:p>
    <w:p w14:paraId="1DDA420C" w14:textId="77777777" w:rsidR="002B083C" w:rsidRPr="00AA1497" w:rsidRDefault="002B083C"/>
    <w:tbl>
      <w:tblPr>
        <w:tblW w:w="13892" w:type="dxa"/>
        <w:tblInd w:w="-5" w:type="dxa"/>
        <w:tblLayout w:type="fixed"/>
        <w:tblCellMar>
          <w:left w:w="10" w:type="dxa"/>
          <w:right w:w="10" w:type="dxa"/>
        </w:tblCellMar>
        <w:tblLook w:val="0000" w:firstRow="0" w:lastRow="0" w:firstColumn="0" w:lastColumn="0" w:noHBand="0" w:noVBand="0"/>
      </w:tblPr>
      <w:tblGrid>
        <w:gridCol w:w="3828"/>
        <w:gridCol w:w="567"/>
        <w:gridCol w:w="567"/>
        <w:gridCol w:w="8930"/>
      </w:tblGrid>
      <w:tr w:rsidR="002B083C" w:rsidRPr="00AA1497" w14:paraId="7D422091" w14:textId="77777777" w:rsidTr="00076ADD">
        <w:trPr>
          <w:trHeight w:val="425"/>
        </w:trPr>
        <w:tc>
          <w:tcPr>
            <w:tcW w:w="3828" w:type="dxa"/>
            <w:shd w:val="clear" w:color="auto" w:fill="auto"/>
            <w:noWrap/>
            <w:tcMar>
              <w:top w:w="15" w:type="dxa"/>
              <w:left w:w="108" w:type="dxa"/>
              <w:bottom w:w="15" w:type="dxa"/>
              <w:right w:w="108" w:type="dxa"/>
            </w:tcMar>
            <w:vAlign w:val="bottom"/>
          </w:tcPr>
          <w:p w14:paraId="4CDB1A81" w14:textId="77777777" w:rsidR="002B083C" w:rsidRPr="00AA1497" w:rsidRDefault="002B083C" w:rsidP="00076ADD">
            <w:pPr>
              <w:spacing w:line="240" w:lineRule="auto"/>
              <w:rPr>
                <w:rFonts w:eastAsia="Times New Roman"/>
                <w:b/>
                <w:bCs/>
                <w:sz w:val="20"/>
                <w:szCs w:val="20"/>
                <w:lang w:eastAsia="lv-LV"/>
              </w:rPr>
            </w:pPr>
            <w:r w:rsidRPr="00AA1497">
              <w:rPr>
                <w:rFonts w:eastAsia="Times New Roman"/>
                <w:b/>
                <w:bCs/>
                <w:sz w:val="20"/>
                <w:szCs w:val="20"/>
                <w:lang w:eastAsia="lv-LV"/>
              </w:rPr>
              <w:t>Novērtējuma 1. daļa</w:t>
            </w:r>
          </w:p>
        </w:tc>
        <w:tc>
          <w:tcPr>
            <w:tcW w:w="567" w:type="dxa"/>
            <w:shd w:val="clear" w:color="auto" w:fill="auto"/>
            <w:noWrap/>
            <w:tcMar>
              <w:top w:w="15" w:type="dxa"/>
              <w:left w:w="108" w:type="dxa"/>
              <w:bottom w:w="15" w:type="dxa"/>
              <w:right w:w="108" w:type="dxa"/>
            </w:tcMar>
            <w:vAlign w:val="bottom"/>
          </w:tcPr>
          <w:p w14:paraId="0C94941E" w14:textId="77777777" w:rsidR="002B083C" w:rsidRPr="00AA1497" w:rsidRDefault="002B083C" w:rsidP="00076ADD">
            <w:pPr>
              <w:spacing w:line="240" w:lineRule="auto"/>
              <w:rPr>
                <w:rFonts w:eastAsia="Times New Roman"/>
                <w:b/>
                <w:bCs/>
                <w:sz w:val="20"/>
                <w:szCs w:val="20"/>
                <w:lang w:eastAsia="lv-LV"/>
              </w:rPr>
            </w:pPr>
          </w:p>
        </w:tc>
        <w:tc>
          <w:tcPr>
            <w:tcW w:w="9497" w:type="dxa"/>
            <w:gridSpan w:val="2"/>
            <w:shd w:val="clear" w:color="auto" w:fill="auto"/>
            <w:tcMar>
              <w:top w:w="15" w:type="dxa"/>
              <w:left w:w="108" w:type="dxa"/>
              <w:bottom w:w="15" w:type="dxa"/>
              <w:right w:w="108" w:type="dxa"/>
            </w:tcMar>
            <w:vAlign w:val="center"/>
          </w:tcPr>
          <w:p w14:paraId="3B0300CA" w14:textId="77777777" w:rsidR="002B083C" w:rsidRPr="00AA1497" w:rsidRDefault="002B083C" w:rsidP="00076ADD">
            <w:pPr>
              <w:spacing w:line="240" w:lineRule="auto"/>
              <w:rPr>
                <w:rFonts w:eastAsia="Times New Roman"/>
                <w:i/>
                <w:iCs/>
                <w:sz w:val="20"/>
                <w:szCs w:val="20"/>
                <w:lang w:eastAsia="lv-LV"/>
              </w:rPr>
            </w:pPr>
          </w:p>
        </w:tc>
      </w:tr>
      <w:tr w:rsidR="002B083C" w:rsidRPr="00AA1497" w14:paraId="19B5D6FC" w14:textId="77777777" w:rsidTr="00076ADD">
        <w:trPr>
          <w:trHeight w:val="900"/>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Mar>
              <w:top w:w="15" w:type="dxa"/>
              <w:left w:w="108" w:type="dxa"/>
              <w:bottom w:w="15" w:type="dxa"/>
              <w:right w:w="108" w:type="dxa"/>
            </w:tcMar>
            <w:vAlign w:val="center"/>
          </w:tcPr>
          <w:p w14:paraId="6CE85D0C" w14:textId="77777777" w:rsidR="002B083C" w:rsidRPr="00AA1497" w:rsidRDefault="002B083C" w:rsidP="00076ADD">
            <w:pPr>
              <w:spacing w:line="240" w:lineRule="auto"/>
              <w:rPr>
                <w:rFonts w:eastAsia="Times New Roman"/>
                <w:i/>
                <w:iCs/>
                <w:sz w:val="20"/>
                <w:szCs w:val="20"/>
                <w:lang w:eastAsia="lv-LV"/>
              </w:rPr>
            </w:pPr>
            <w:r w:rsidRPr="00AA1497">
              <w:rPr>
                <w:rFonts w:eastAsia="Times New Roman"/>
                <w:i/>
                <w:iCs/>
                <w:sz w:val="20"/>
                <w:szCs w:val="20"/>
                <w:lang w:eastAsia="lv-LV"/>
              </w:rPr>
              <w:t>Norādiet, kuri no turpmāk minētajiem vides mērķiem prasa padziļinātu pasākuma novērtējumu no NBK viedokļa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294697A9" w14:textId="77777777" w:rsidR="002B083C" w:rsidRPr="00AA1497" w:rsidRDefault="002B083C" w:rsidP="00076ADD">
            <w:pPr>
              <w:spacing w:line="240" w:lineRule="auto"/>
              <w:jc w:val="center"/>
              <w:rPr>
                <w:rFonts w:eastAsia="Times New Roman"/>
                <w:b/>
                <w:bCs/>
                <w:sz w:val="20"/>
                <w:szCs w:val="20"/>
                <w:lang w:eastAsia="lv-LV"/>
              </w:rPr>
            </w:pPr>
            <w:r w:rsidRPr="00AA1497">
              <w:rPr>
                <w:rFonts w:eastAsia="Times New Roman"/>
                <w:b/>
                <w:bCs/>
                <w:sz w:val="20"/>
                <w:szCs w:val="20"/>
                <w:lang w:eastAsia="lv-LV"/>
              </w:rPr>
              <w:t>JĀ</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14350371" w14:textId="77777777" w:rsidR="002B083C" w:rsidRPr="00AA1497" w:rsidRDefault="002B083C" w:rsidP="00076ADD">
            <w:pPr>
              <w:spacing w:line="240" w:lineRule="auto"/>
              <w:jc w:val="center"/>
              <w:rPr>
                <w:rFonts w:eastAsia="Times New Roman"/>
                <w:b/>
                <w:bCs/>
                <w:sz w:val="20"/>
                <w:szCs w:val="20"/>
                <w:lang w:eastAsia="lv-LV"/>
              </w:rPr>
            </w:pPr>
            <w:r w:rsidRPr="00AA1497">
              <w:rPr>
                <w:rFonts w:eastAsia="Times New Roman"/>
                <w:b/>
                <w:bCs/>
                <w:sz w:val="20"/>
                <w:szCs w:val="20"/>
                <w:lang w:eastAsia="lv-LV"/>
              </w:rPr>
              <w:t>NĒ</w:t>
            </w: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50D1BFBF" w14:textId="77777777" w:rsidR="002B083C" w:rsidRPr="00AA1497" w:rsidRDefault="002B083C" w:rsidP="00076ADD">
            <w:pPr>
              <w:spacing w:line="240" w:lineRule="auto"/>
              <w:jc w:val="center"/>
              <w:rPr>
                <w:rFonts w:eastAsia="Times New Roman"/>
                <w:b/>
                <w:bCs/>
                <w:sz w:val="20"/>
                <w:szCs w:val="20"/>
                <w:lang w:eastAsia="lv-LV"/>
              </w:rPr>
            </w:pPr>
            <w:r w:rsidRPr="00AA1497">
              <w:rPr>
                <w:rFonts w:eastAsia="Times New Roman"/>
                <w:b/>
                <w:bCs/>
                <w:sz w:val="20"/>
                <w:szCs w:val="20"/>
                <w:lang w:eastAsia="lv-LV"/>
              </w:rPr>
              <w:t>Pamatojums, ja novērtējums ir "NĒ"</w:t>
            </w:r>
          </w:p>
        </w:tc>
      </w:tr>
      <w:tr w:rsidR="002B083C" w:rsidRPr="00AA1497" w14:paraId="129B17AA" w14:textId="77777777" w:rsidTr="00076ADD">
        <w:trPr>
          <w:trHeight w:val="300"/>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700537CB" w14:textId="77777777" w:rsidR="002B083C" w:rsidRPr="00AA1497" w:rsidRDefault="002B083C" w:rsidP="00076ADD">
            <w:pPr>
              <w:spacing w:line="240" w:lineRule="auto"/>
              <w:rPr>
                <w:rFonts w:eastAsia="Times New Roman"/>
                <w:b/>
                <w:bCs/>
                <w:sz w:val="20"/>
                <w:szCs w:val="20"/>
                <w:lang w:eastAsia="lv-LV"/>
              </w:rPr>
            </w:pPr>
            <w:r w:rsidRPr="00AA1497">
              <w:rPr>
                <w:rFonts w:eastAsia="Times New Roman"/>
                <w:b/>
                <w:bCs/>
                <w:sz w:val="20"/>
                <w:szCs w:val="20"/>
                <w:lang w:eastAsia="lv-LV"/>
              </w:rPr>
              <w:t xml:space="preserve">Klimata pārmaiņu mazināšana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33A5412" w14:textId="77777777" w:rsidR="002B083C" w:rsidRPr="00AA1497" w:rsidRDefault="002B083C" w:rsidP="00076ADD">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3FB7EA9D" w14:textId="77777777" w:rsidR="002B083C" w:rsidRPr="00AA1497" w:rsidRDefault="002B083C" w:rsidP="00076ADD">
            <w:pPr>
              <w:spacing w:line="240" w:lineRule="auto"/>
              <w:jc w:val="center"/>
              <w:rPr>
                <w:rFonts w:eastAsia="Times New Roman"/>
                <w:b/>
                <w:bCs/>
                <w:sz w:val="20"/>
                <w:szCs w:val="20"/>
                <w:lang w:eastAsia="lv-LV"/>
              </w:rPr>
            </w:pPr>
            <w:r w:rsidRPr="00AA1497">
              <w:rPr>
                <w:rFonts w:eastAsia="Times New Roman"/>
                <w:b/>
                <w:bCs/>
                <w:sz w:val="20"/>
                <w:szCs w:val="20"/>
                <w:lang w:eastAsia="lv-LV"/>
              </w:rPr>
              <w:t>X</w:t>
            </w: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0DB06C18" w14:textId="77777777" w:rsidR="002B083C" w:rsidRPr="00AA1497" w:rsidRDefault="002B083C" w:rsidP="00076ADD">
            <w:pPr>
              <w:jc w:val="both"/>
              <w:rPr>
                <w:sz w:val="20"/>
                <w:szCs w:val="20"/>
              </w:rPr>
            </w:pPr>
            <w:r w:rsidRPr="00AA1497">
              <w:rPr>
                <w:b/>
                <w:bCs/>
                <w:sz w:val="20"/>
                <w:szCs w:val="20"/>
              </w:rPr>
              <w:t>Ietekme uz SEG emisijām</w:t>
            </w:r>
            <w:r w:rsidRPr="00AA1497">
              <w:rPr>
                <w:sz w:val="20"/>
                <w:szCs w:val="20"/>
              </w:rPr>
              <w:t xml:space="preserve"> </w:t>
            </w:r>
          </w:p>
          <w:p w14:paraId="442F8D24" w14:textId="77777777" w:rsidR="002B083C" w:rsidRPr="00AA1497" w:rsidRDefault="002B083C" w:rsidP="002B083C">
            <w:pPr>
              <w:pStyle w:val="ListParagraph"/>
              <w:numPr>
                <w:ilvl w:val="0"/>
                <w:numId w:val="7"/>
              </w:numPr>
              <w:suppressAutoHyphens/>
              <w:autoSpaceDN w:val="0"/>
              <w:spacing w:after="160" w:line="247" w:lineRule="auto"/>
              <w:contextualSpacing w:val="0"/>
              <w:jc w:val="both"/>
              <w:textAlignment w:val="baseline"/>
              <w:rPr>
                <w:rFonts w:eastAsiaTheme="minorEastAsia" w:cs="Times New Roman"/>
                <w:sz w:val="20"/>
                <w:szCs w:val="20"/>
                <w:lang w:val="lv-LV"/>
              </w:rPr>
            </w:pPr>
            <w:r w:rsidRPr="00AA1497">
              <w:rPr>
                <w:rFonts w:cs="Times New Roman"/>
                <w:sz w:val="20"/>
                <w:szCs w:val="20"/>
                <w:lang w:val="lv-LV"/>
              </w:rPr>
              <w:t>Pasākums atbalsta klimata pārmaiņu mērķus (</w:t>
            </w:r>
            <w:r w:rsidRPr="00AA1497">
              <w:rPr>
                <w:rFonts w:eastAsiaTheme="minorEastAsia" w:cs="Times New Roman"/>
                <w:sz w:val="20"/>
                <w:szCs w:val="20"/>
                <w:lang w:val="lv-LV"/>
              </w:rPr>
              <w:t>025 bis Esošā dzīvojamā fonda energoefektivitātes atjaunošana, demonstrējumu projekti un atbalsta pasākumi, kas atbilst energoefektivitātes kritērijiem;</w:t>
            </w:r>
            <w:r w:rsidRPr="00AA1497">
              <w:rPr>
                <w:rFonts w:cs="Times New Roman"/>
                <w:sz w:val="20"/>
                <w:szCs w:val="20"/>
                <w:lang w:val="lv-LV"/>
              </w:rPr>
              <w:t xml:space="preserve"> un tādējādi tiek uzskatīts par atbilstīgu NBK attiecībā uz attiecīgo mērķi: mazināt SEG emisijas,  ēku atjaunošanas rezultātā uzlabojot to energoefektivitāti – samazinot energoresursu patēriņu, kā arī veicinot pāreju uz atjaunojamo energoresursu tehnoloģiju izmantošanu;</w:t>
            </w:r>
          </w:p>
          <w:p w14:paraId="6F466F4C" w14:textId="77777777" w:rsidR="002B083C" w:rsidRPr="00AA1497" w:rsidRDefault="002B083C" w:rsidP="002B083C">
            <w:pPr>
              <w:pStyle w:val="ListParagraph"/>
              <w:numPr>
                <w:ilvl w:val="0"/>
                <w:numId w:val="7"/>
              </w:numPr>
              <w:spacing w:after="160" w:line="247" w:lineRule="auto"/>
              <w:jc w:val="both"/>
              <w:rPr>
                <w:rFonts w:eastAsia="Times New Roman" w:cs="Times New Roman"/>
                <w:sz w:val="20"/>
                <w:szCs w:val="20"/>
                <w:lang w:val="lv-LV"/>
              </w:rPr>
            </w:pPr>
            <w:r w:rsidRPr="00AA1497">
              <w:rPr>
                <w:rFonts w:eastAsia="Times New Roman" w:cs="Times New Roman"/>
                <w:sz w:val="20"/>
                <w:szCs w:val="20"/>
                <w:lang w:val="lv-LV"/>
              </w:rPr>
              <w:t>Pasākuma ietvaros tiks nodrošināta vismaz vidēja renovācijas pakāpe un  sasniegts vidēji vismaz 30% energopatēriņa samazinājums. Faktiski sasniegtās enerģijas patēriņa rādītāju vērtības līdzīgā, iepriekš ieviestā 2014.-2020.gada plānošanas perioda Darbības programmas "Izaugsme un nodarbinātība" 4.2.1.1. pasākumā "Veicināt energoefektivitātes paaugstināšanu dzīvojamās ēkās" parāda, ka vidējais siltumenerģijas patēriņa ietaupījums sasniedza pat 49%.</w:t>
            </w:r>
          </w:p>
          <w:p w14:paraId="7C28B2E9" w14:textId="77777777" w:rsidR="002B083C" w:rsidRPr="00AA1497" w:rsidRDefault="002B083C" w:rsidP="00076ADD">
            <w:pPr>
              <w:pStyle w:val="ListParagraph"/>
              <w:suppressAutoHyphens/>
              <w:autoSpaceDN w:val="0"/>
              <w:spacing w:after="160" w:line="247" w:lineRule="auto"/>
              <w:contextualSpacing w:val="0"/>
              <w:jc w:val="both"/>
              <w:textAlignment w:val="baseline"/>
              <w:rPr>
                <w:rFonts w:eastAsiaTheme="minorEastAsia" w:cs="Times New Roman"/>
                <w:sz w:val="20"/>
                <w:szCs w:val="20"/>
                <w:lang w:val="lv-LV"/>
              </w:rPr>
            </w:pPr>
          </w:p>
          <w:p w14:paraId="4064A209" w14:textId="77777777" w:rsidR="002B083C" w:rsidRPr="00AA1497" w:rsidRDefault="002B083C" w:rsidP="002B083C">
            <w:pPr>
              <w:pStyle w:val="ListParagraph"/>
              <w:numPr>
                <w:ilvl w:val="0"/>
                <w:numId w:val="7"/>
              </w:numPr>
              <w:suppressAutoHyphens/>
              <w:autoSpaceDN w:val="0"/>
              <w:spacing w:after="160" w:line="247" w:lineRule="auto"/>
              <w:contextualSpacing w:val="0"/>
              <w:jc w:val="both"/>
              <w:textAlignment w:val="baseline"/>
              <w:rPr>
                <w:rFonts w:eastAsiaTheme="minorEastAsia" w:cs="Times New Roman"/>
                <w:sz w:val="20"/>
                <w:szCs w:val="20"/>
                <w:lang w:val="lv-LV"/>
              </w:rPr>
            </w:pPr>
            <w:r w:rsidRPr="00AA1497">
              <w:rPr>
                <w:rFonts w:cs="Times New Roman"/>
                <w:sz w:val="20"/>
                <w:szCs w:val="20"/>
                <w:lang w:val="lv-LV"/>
              </w:rPr>
              <w:t xml:space="preserve">Pasākuma ietvaros tiks uzlabota </w:t>
            </w:r>
            <w:r w:rsidRPr="00AA1497">
              <w:rPr>
                <w:rFonts w:eastAsia="Times New Roman" w:cs="Times New Roman"/>
                <w:sz w:val="20"/>
                <w:szCs w:val="20"/>
                <w:lang w:val="lv-LV" w:eastAsia="lv-LV"/>
              </w:rPr>
              <w:t>daudzdzīvokļu māju, energoefektivitāte</w:t>
            </w:r>
            <w:r w:rsidRPr="00AA1497">
              <w:rPr>
                <w:rFonts w:cs="Times New Roman"/>
                <w:sz w:val="20"/>
                <w:szCs w:val="20"/>
                <w:lang w:val="lv-LV"/>
              </w:rPr>
              <w:t xml:space="preserve">, tādējādi samazinot ikgadējo primārās enerģijas patēriņu un sniedzot enerģijas ietaupījumu un  SEG emisiju samazinājumu.  </w:t>
            </w:r>
          </w:p>
          <w:p w14:paraId="6FA903D1" w14:textId="77777777" w:rsidR="002B083C" w:rsidRPr="00AA1497" w:rsidRDefault="002B083C" w:rsidP="002B083C">
            <w:pPr>
              <w:pStyle w:val="ListParagraph"/>
              <w:numPr>
                <w:ilvl w:val="0"/>
                <w:numId w:val="7"/>
              </w:numPr>
              <w:suppressAutoHyphens/>
              <w:autoSpaceDN w:val="0"/>
              <w:spacing w:after="160" w:line="247" w:lineRule="auto"/>
              <w:contextualSpacing w:val="0"/>
              <w:jc w:val="both"/>
              <w:textAlignment w:val="baseline"/>
              <w:rPr>
                <w:rFonts w:eastAsiaTheme="minorEastAsia" w:cs="Times New Roman"/>
                <w:sz w:val="20"/>
                <w:szCs w:val="20"/>
                <w:lang w:val="lv-LV"/>
              </w:rPr>
            </w:pPr>
            <w:r w:rsidRPr="00AA1497">
              <w:rPr>
                <w:rFonts w:cs="Times New Roman"/>
                <w:sz w:val="20"/>
                <w:szCs w:val="20"/>
                <w:lang w:val="lv-LV"/>
              </w:rPr>
              <w:t>Pasākuma klimata sniegumu paaugstinās uzstādītās AER izmantojošas siltumenerģiju un elektroenerģiju ražojošas iekārtas.</w:t>
            </w:r>
          </w:p>
          <w:p w14:paraId="42044CE1" w14:textId="77777777" w:rsidR="002B083C" w:rsidRPr="00AA1497" w:rsidRDefault="002B083C" w:rsidP="002B083C">
            <w:pPr>
              <w:pStyle w:val="ListParagraph"/>
              <w:numPr>
                <w:ilvl w:val="0"/>
                <w:numId w:val="7"/>
              </w:numPr>
              <w:suppressAutoHyphens/>
              <w:autoSpaceDN w:val="0"/>
              <w:spacing w:after="160" w:line="247" w:lineRule="auto"/>
              <w:contextualSpacing w:val="0"/>
              <w:jc w:val="both"/>
              <w:textAlignment w:val="baseline"/>
              <w:rPr>
                <w:rFonts w:eastAsiaTheme="minorEastAsia" w:cs="Times New Roman"/>
                <w:sz w:val="20"/>
                <w:szCs w:val="20"/>
                <w:lang w:val="lv-LV"/>
              </w:rPr>
            </w:pPr>
            <w:r w:rsidRPr="00AA1497">
              <w:rPr>
                <w:rFonts w:eastAsia="Calibri" w:cs="Times New Roman"/>
                <w:sz w:val="20"/>
                <w:szCs w:val="20"/>
                <w:lang w:val="lv-LV"/>
              </w:rPr>
              <w:lastRenderedPageBreak/>
              <w:t>Programmas īstenošanas nosacījumos tiks ietverti kritēriji, lai nodrošinātu atbilstību Direktīvas 2018/2001 29.pantā noteiktajiem kritērijiem un izmantojot šķeldu, tai jāatbilst SEG emisiju ietaupījumam 80%. Atbilstība minētajiem kritērijiem tiks pamatota  Enerģētikas likumā noteiktajā kārtībā.</w:t>
            </w:r>
          </w:p>
          <w:p w14:paraId="3A063991" w14:textId="77777777" w:rsidR="002B083C" w:rsidRPr="00AA1497" w:rsidRDefault="002B083C" w:rsidP="002B083C">
            <w:pPr>
              <w:pStyle w:val="ListParagraph"/>
              <w:numPr>
                <w:ilvl w:val="0"/>
                <w:numId w:val="7"/>
              </w:numPr>
              <w:suppressAutoHyphens/>
              <w:autoSpaceDN w:val="0"/>
              <w:spacing w:after="160" w:line="247" w:lineRule="auto"/>
              <w:contextualSpacing w:val="0"/>
              <w:jc w:val="both"/>
              <w:textAlignment w:val="baseline"/>
              <w:rPr>
                <w:rFonts w:eastAsiaTheme="minorEastAsia" w:cs="Times New Roman"/>
                <w:sz w:val="20"/>
                <w:szCs w:val="20"/>
                <w:lang w:val="lv-LV"/>
              </w:rPr>
            </w:pPr>
            <w:r w:rsidRPr="00AA1497">
              <w:rPr>
                <w:rFonts w:cs="Times New Roman"/>
                <w:sz w:val="20"/>
                <w:szCs w:val="20"/>
                <w:lang w:val="lv-LV"/>
              </w:rPr>
              <w:t>Pasākuma īstenošana  sniegs gan tiešus SEG emisiju samazinājumus, gan arī netiešus SEG emisiju samazinājumus, kas rodas no projektu demonstrācijas un multiplikatīvā efekta.</w:t>
            </w:r>
          </w:p>
          <w:p w14:paraId="1BDB43BF" w14:textId="77777777" w:rsidR="002B083C" w:rsidRPr="00AA1497" w:rsidRDefault="002B083C" w:rsidP="00076ADD">
            <w:pPr>
              <w:spacing w:line="240" w:lineRule="auto"/>
              <w:jc w:val="both"/>
              <w:rPr>
                <w:b/>
                <w:bCs/>
                <w:sz w:val="20"/>
                <w:szCs w:val="20"/>
              </w:rPr>
            </w:pPr>
            <w:r w:rsidRPr="00AA1497">
              <w:rPr>
                <w:b/>
                <w:bCs/>
                <w:sz w:val="20"/>
                <w:szCs w:val="20"/>
              </w:rPr>
              <w:t xml:space="preserve"> Sasaiste ar reģionālās attīstības mērķiem</w:t>
            </w:r>
          </w:p>
          <w:p w14:paraId="45C2C895" w14:textId="77777777" w:rsidR="002B083C" w:rsidRPr="00AA1497" w:rsidRDefault="002B083C" w:rsidP="002B083C">
            <w:pPr>
              <w:pStyle w:val="ListParagraph"/>
              <w:numPr>
                <w:ilvl w:val="0"/>
                <w:numId w:val="8"/>
              </w:numPr>
              <w:suppressAutoHyphens/>
              <w:autoSpaceDN w:val="0"/>
              <w:spacing w:line="240" w:lineRule="auto"/>
              <w:contextualSpacing w:val="0"/>
              <w:jc w:val="both"/>
              <w:textAlignment w:val="baseline"/>
              <w:rPr>
                <w:rFonts w:eastAsiaTheme="minorEastAsia" w:cs="Times New Roman"/>
                <w:sz w:val="20"/>
                <w:szCs w:val="20"/>
                <w:lang w:val="lv-LV"/>
              </w:rPr>
            </w:pPr>
            <w:r w:rsidRPr="00AA1497">
              <w:rPr>
                <w:rFonts w:cs="Times New Roman"/>
                <w:sz w:val="20"/>
                <w:szCs w:val="20"/>
                <w:lang w:val="lv-LV"/>
              </w:rPr>
              <w:t xml:space="preserve">Investīcijas ir plānotas saskaņā ar Reģionālās politikas pamatnostādnēm 2021.-2027.gadam, kur viens no galvenajiem tematiskajiem atbalsta virzieniem reģionālās politikas mērķa (visu reģionu potenciāla attīstība un sociālekonomisko atšķirību mazināšana, stiprinot to iekšējo un ārējo konkurētspēju, kā arī nodrošinot teritoriju specifikai atbilstošus risinājumus apdzīvojuma un kvalitatīvas dzīves vides attīstībai) sasniegšanai ir pakalpojumu nodrošināšana reģionos atbilstoši demogrāfiskajiem izaicinājumiem, t.sk. paredzot A.2.3. uzdevumu “Mājokļu pieejamība darbaspēkam reģionos”, kura ietvaros nepieciešams paaugstināt dzīvojamo ēku energoefektivitāti, tādējādi nodrošinot izmaksu ietaupījumu un komfortablus dzīves apstākļus. </w:t>
            </w:r>
          </w:p>
          <w:p w14:paraId="5C95DFEF" w14:textId="77777777" w:rsidR="002B083C" w:rsidRPr="00AA1497" w:rsidRDefault="002B083C" w:rsidP="00076ADD">
            <w:pPr>
              <w:jc w:val="both"/>
              <w:rPr>
                <w:b/>
                <w:bCs/>
                <w:sz w:val="20"/>
                <w:szCs w:val="20"/>
              </w:rPr>
            </w:pPr>
          </w:p>
          <w:p w14:paraId="7CBCAB90" w14:textId="77777777" w:rsidR="002B083C" w:rsidRPr="00AA1497" w:rsidRDefault="002B083C" w:rsidP="00076ADD">
            <w:pPr>
              <w:jc w:val="both"/>
              <w:rPr>
                <w:b/>
                <w:bCs/>
                <w:sz w:val="20"/>
                <w:szCs w:val="20"/>
              </w:rPr>
            </w:pPr>
            <w:r w:rsidRPr="00AA1497">
              <w:rPr>
                <w:b/>
                <w:bCs/>
                <w:sz w:val="20"/>
                <w:szCs w:val="20"/>
              </w:rPr>
              <w:t>Sasaiste ar politikas plānošanas dokumentiem</w:t>
            </w:r>
          </w:p>
          <w:p w14:paraId="6D0EA80C" w14:textId="77777777" w:rsidR="002B083C" w:rsidRPr="00AA1497" w:rsidRDefault="002B083C" w:rsidP="002B083C">
            <w:pPr>
              <w:pStyle w:val="ListParagraph"/>
              <w:numPr>
                <w:ilvl w:val="0"/>
                <w:numId w:val="6"/>
              </w:numPr>
              <w:suppressAutoHyphens/>
              <w:autoSpaceDN w:val="0"/>
              <w:spacing w:after="160" w:line="247" w:lineRule="auto"/>
              <w:contextualSpacing w:val="0"/>
              <w:jc w:val="both"/>
              <w:textAlignment w:val="baseline"/>
              <w:rPr>
                <w:rFonts w:eastAsiaTheme="minorEastAsia" w:cs="Times New Roman"/>
                <w:sz w:val="20"/>
                <w:szCs w:val="20"/>
                <w:lang w:val="lv-LV"/>
              </w:rPr>
            </w:pPr>
            <w:r w:rsidRPr="00AA1497">
              <w:rPr>
                <w:rFonts w:cs="Times New Roman"/>
                <w:sz w:val="20"/>
                <w:szCs w:val="20"/>
                <w:lang w:val="lv-LV"/>
              </w:rPr>
              <w:t>Saskaņā ar Latvijas stratēģiju klimatneitralitātes sasniegšanai līdz 2050. gadam pāreja uz klimatneitralitāti īstenojama cita starpā caur visaptverošu energoefektivitāti, t.sk., attiecībā uz ēku atjaunošanu;</w:t>
            </w:r>
          </w:p>
          <w:p w14:paraId="6651D48F" w14:textId="77777777" w:rsidR="002B083C" w:rsidRPr="00AA1497" w:rsidRDefault="002B083C" w:rsidP="002B083C">
            <w:pPr>
              <w:pStyle w:val="ListParagraph"/>
              <w:numPr>
                <w:ilvl w:val="0"/>
                <w:numId w:val="6"/>
              </w:numPr>
              <w:suppressAutoHyphens/>
              <w:autoSpaceDN w:val="0"/>
              <w:spacing w:after="160" w:line="247" w:lineRule="auto"/>
              <w:contextualSpacing w:val="0"/>
              <w:jc w:val="both"/>
              <w:textAlignment w:val="baseline"/>
              <w:rPr>
                <w:rFonts w:eastAsiaTheme="minorEastAsia" w:cs="Times New Roman"/>
                <w:sz w:val="20"/>
                <w:szCs w:val="20"/>
                <w:lang w:val="lv-LV"/>
              </w:rPr>
            </w:pPr>
            <w:r w:rsidRPr="00AA1497">
              <w:rPr>
                <w:rFonts w:cs="Times New Roman"/>
                <w:sz w:val="20"/>
                <w:szCs w:val="20"/>
                <w:lang w:val="lv-LV"/>
              </w:rPr>
              <w:t>Saskaņā ar Latvijas Nacionālo klimata un enerģētikas plānu 2021.–2030.gadam (NEKP) ir jāveicina energoresursu patēriņa samazināšana ēkās. NEKP nosaka mērķi līdz 2030. gadam atjaunot ēkas 500 000 m</w:t>
            </w:r>
            <w:r w:rsidRPr="00AA1497">
              <w:rPr>
                <w:rFonts w:cs="Times New Roman"/>
                <w:sz w:val="20"/>
                <w:szCs w:val="20"/>
                <w:vertAlign w:val="superscript"/>
                <w:lang w:val="lv-LV"/>
              </w:rPr>
              <w:t>2</w:t>
            </w:r>
            <w:r w:rsidRPr="00AA1497">
              <w:rPr>
                <w:rFonts w:cs="Times New Roman"/>
                <w:sz w:val="20"/>
                <w:szCs w:val="20"/>
                <w:lang w:val="lv-LV"/>
              </w:rPr>
              <w:t xml:space="preserve">  platībā, kā arī līdz 2030. gadam palielināt AER enerģijas īpatsvaru enerģijas bruto gala patēriņā līdz 50 %. </w:t>
            </w:r>
          </w:p>
          <w:p w14:paraId="6C546A0F" w14:textId="77777777" w:rsidR="002B083C" w:rsidRPr="00AA1497" w:rsidRDefault="002B083C" w:rsidP="002B083C">
            <w:pPr>
              <w:pStyle w:val="ListParagraph"/>
              <w:numPr>
                <w:ilvl w:val="0"/>
                <w:numId w:val="6"/>
              </w:numPr>
              <w:suppressAutoHyphens/>
              <w:autoSpaceDN w:val="0"/>
              <w:spacing w:after="160" w:line="247" w:lineRule="auto"/>
              <w:contextualSpacing w:val="0"/>
              <w:jc w:val="both"/>
              <w:textAlignment w:val="baseline"/>
              <w:rPr>
                <w:rFonts w:eastAsiaTheme="minorEastAsia" w:cs="Times New Roman"/>
                <w:sz w:val="20"/>
                <w:szCs w:val="20"/>
                <w:lang w:val="lv-LV"/>
              </w:rPr>
            </w:pPr>
            <w:r w:rsidRPr="00AA1497">
              <w:rPr>
                <w:rFonts w:cs="Times New Roman"/>
                <w:sz w:val="20"/>
                <w:szCs w:val="20"/>
                <w:lang w:val="lv-LV"/>
              </w:rPr>
              <w:t xml:space="preserve">Lai veicinātu Direktīvā 2010/31/ES par ēku energoefektivitāti noteikto, Latvijā ir pastiprinātas prasības ēku energoefektivitātes minimālajam pieļaujamajam līmenim, energoefektivitātes novērtējumam apkurei atjaunošanām un pārbūvēm no 2021. gada, t.sk. no 2021.gada visām jaunām ēkām jāatbilst gandrīz nulles enerģijas  ēku prasībām. </w:t>
            </w:r>
          </w:p>
          <w:p w14:paraId="7D75A1CE" w14:textId="77777777" w:rsidR="002B083C" w:rsidRPr="00AA1497" w:rsidRDefault="002B083C" w:rsidP="002B083C">
            <w:pPr>
              <w:pStyle w:val="ListParagraph"/>
              <w:numPr>
                <w:ilvl w:val="0"/>
                <w:numId w:val="6"/>
              </w:numPr>
              <w:suppressAutoHyphens/>
              <w:autoSpaceDN w:val="0"/>
              <w:spacing w:after="160" w:line="247" w:lineRule="auto"/>
              <w:contextualSpacing w:val="0"/>
              <w:jc w:val="both"/>
              <w:textAlignment w:val="baseline"/>
              <w:rPr>
                <w:rFonts w:eastAsiaTheme="minorEastAsia" w:cs="Times New Roman"/>
                <w:sz w:val="20"/>
                <w:szCs w:val="20"/>
                <w:lang w:val="lv-LV"/>
              </w:rPr>
            </w:pPr>
            <w:r w:rsidRPr="00AA1497">
              <w:rPr>
                <w:rFonts w:cs="Times New Roman"/>
                <w:sz w:val="20"/>
                <w:szCs w:val="20"/>
                <w:lang w:val="lv-LV"/>
              </w:rPr>
              <w:lastRenderedPageBreak/>
              <w:t>Saskaņā ar Ēku atjaunošanas ilgtermiņa stratēģiju līdz 2050.gadam Latvijai jāsasniedz ēku dekarbonizācijas mērķis, dzīvojamam fondam līdz 2050. gadam jāatbilst augstiem energoefektivitātes, būvniecības, drošības un labiekārtotības standartiem.</w:t>
            </w:r>
          </w:p>
          <w:p w14:paraId="24CD4C75" w14:textId="77777777" w:rsidR="002B083C" w:rsidRPr="00AA1497" w:rsidRDefault="002B083C" w:rsidP="00076ADD">
            <w:pPr>
              <w:jc w:val="both"/>
              <w:rPr>
                <w:b/>
                <w:bCs/>
                <w:sz w:val="20"/>
                <w:szCs w:val="20"/>
              </w:rPr>
            </w:pPr>
            <w:r w:rsidRPr="00AA1497">
              <w:rPr>
                <w:sz w:val="20"/>
                <w:szCs w:val="20"/>
              </w:rPr>
              <w:t xml:space="preserve"> </w:t>
            </w:r>
            <w:r w:rsidRPr="00AA1497">
              <w:rPr>
                <w:b/>
                <w:bCs/>
                <w:sz w:val="20"/>
                <w:szCs w:val="20"/>
              </w:rPr>
              <w:t>Papildinoši pasākumi un investīcijas ar SEG samazinošu efektu</w:t>
            </w:r>
          </w:p>
          <w:p w14:paraId="72FAD847" w14:textId="77777777" w:rsidR="002B083C" w:rsidRPr="00AA1497" w:rsidRDefault="002B083C" w:rsidP="002B083C">
            <w:pPr>
              <w:pStyle w:val="ListParagraph"/>
              <w:numPr>
                <w:ilvl w:val="0"/>
                <w:numId w:val="5"/>
              </w:numPr>
              <w:suppressAutoHyphens/>
              <w:autoSpaceDN w:val="0"/>
              <w:spacing w:after="160" w:line="247" w:lineRule="auto"/>
              <w:contextualSpacing w:val="0"/>
              <w:jc w:val="both"/>
              <w:textAlignment w:val="baseline"/>
              <w:rPr>
                <w:rFonts w:eastAsiaTheme="minorEastAsia" w:cs="Times New Roman"/>
                <w:sz w:val="20"/>
                <w:szCs w:val="20"/>
                <w:lang w:val="lv-LV"/>
              </w:rPr>
            </w:pPr>
            <w:r w:rsidRPr="00AA1497">
              <w:rPr>
                <w:rFonts w:cs="Times New Roman"/>
                <w:sz w:val="20"/>
                <w:szCs w:val="20"/>
                <w:lang w:val="lv-LV"/>
              </w:rPr>
              <w:t xml:space="preserve">Investīcijas </w:t>
            </w:r>
            <w:r w:rsidRPr="00AA1497">
              <w:rPr>
                <w:rFonts w:eastAsia="Times New Roman" w:cs="Times New Roman"/>
                <w:sz w:val="20"/>
                <w:szCs w:val="20"/>
                <w:lang w:val="lv-LV" w:eastAsia="lv-LV"/>
              </w:rPr>
              <w:t xml:space="preserve">daudzdzīvokļu māju </w:t>
            </w:r>
            <w:r w:rsidRPr="00AA1497">
              <w:rPr>
                <w:rFonts w:cs="Times New Roman"/>
                <w:sz w:val="20"/>
                <w:szCs w:val="20"/>
                <w:lang w:val="lv-LV"/>
              </w:rPr>
              <w:t>energoefektivitātes paaugstināšanā tiks veiktas saskaņā ar Darbības programmas Latvijai 2021.-2027.gadam 2.1.1.SAM "Energoefektivitātes veicināšana un siltumnīcefekta gāzu emisiju samazināšana".</w:t>
            </w:r>
          </w:p>
          <w:p w14:paraId="1C480957" w14:textId="77777777" w:rsidR="002B083C" w:rsidRPr="00AA1497" w:rsidRDefault="002B083C" w:rsidP="00076ADD">
            <w:pPr>
              <w:pStyle w:val="ListParagraph"/>
              <w:suppressAutoHyphens/>
              <w:autoSpaceDN w:val="0"/>
              <w:spacing w:after="160" w:line="247" w:lineRule="auto"/>
              <w:contextualSpacing w:val="0"/>
              <w:jc w:val="both"/>
              <w:textAlignment w:val="baseline"/>
              <w:rPr>
                <w:rFonts w:cs="Times New Roman"/>
                <w:sz w:val="20"/>
                <w:szCs w:val="20"/>
                <w:lang w:val="lv-LV"/>
              </w:rPr>
            </w:pPr>
          </w:p>
        </w:tc>
      </w:tr>
      <w:tr w:rsidR="002B083C" w:rsidRPr="00AA1497" w14:paraId="39DFD609" w14:textId="77777777" w:rsidTr="00076ADD">
        <w:trPr>
          <w:trHeight w:val="278"/>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2E78C0E" w14:textId="77777777" w:rsidR="002B083C" w:rsidRPr="00AA1497" w:rsidRDefault="002B083C" w:rsidP="00076ADD">
            <w:pPr>
              <w:spacing w:line="240" w:lineRule="auto"/>
              <w:rPr>
                <w:rFonts w:eastAsia="Times New Roman"/>
                <w:b/>
                <w:bCs/>
                <w:sz w:val="20"/>
                <w:szCs w:val="20"/>
                <w:lang w:eastAsia="lv-LV"/>
              </w:rPr>
            </w:pPr>
            <w:r w:rsidRPr="00AA1497">
              <w:rPr>
                <w:rFonts w:eastAsia="Times New Roman"/>
                <w:b/>
                <w:bCs/>
                <w:sz w:val="20"/>
                <w:szCs w:val="20"/>
                <w:lang w:eastAsia="lv-LV"/>
              </w:rPr>
              <w:lastRenderedPageBreak/>
              <w:t>Pielāgošanas klimata pārmaiņām</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7F4D0DF" w14:textId="77777777" w:rsidR="002B083C" w:rsidRPr="00AA1497" w:rsidRDefault="002B083C" w:rsidP="00076ADD">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35FDE868" w14:textId="77777777" w:rsidR="002B083C" w:rsidRPr="00AA1497" w:rsidRDefault="002B083C" w:rsidP="00076ADD">
            <w:pPr>
              <w:spacing w:line="240" w:lineRule="auto"/>
              <w:jc w:val="center"/>
              <w:rPr>
                <w:rFonts w:eastAsia="Times New Roman"/>
                <w:b/>
                <w:bCs/>
                <w:sz w:val="20"/>
                <w:szCs w:val="20"/>
                <w:lang w:eastAsia="lv-LV"/>
              </w:rPr>
            </w:pPr>
            <w:r w:rsidRPr="00AA1497">
              <w:rPr>
                <w:rFonts w:eastAsia="Times New Roman"/>
                <w:b/>
                <w:bCs/>
                <w:sz w:val="20"/>
                <w:szCs w:val="20"/>
                <w:lang w:eastAsia="lv-LV"/>
              </w:rPr>
              <w:t>X</w:t>
            </w:r>
          </w:p>
          <w:p w14:paraId="68C9BF1C" w14:textId="77777777" w:rsidR="002B083C" w:rsidRPr="00AA1497" w:rsidRDefault="002B083C" w:rsidP="00076ADD">
            <w:pPr>
              <w:spacing w:line="240" w:lineRule="auto"/>
              <w:jc w:val="center"/>
              <w:rPr>
                <w:b/>
                <w:sz w:val="20"/>
                <w:szCs w:val="20"/>
                <w:lang w:eastAsia="lv-LV"/>
              </w:rPr>
            </w:pP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1EB59381" w14:textId="304DEC65" w:rsidR="002B083C" w:rsidRPr="00AA1497" w:rsidRDefault="002B083C" w:rsidP="00076ADD">
            <w:pPr>
              <w:spacing w:line="240" w:lineRule="auto"/>
              <w:jc w:val="both"/>
              <w:rPr>
                <w:sz w:val="20"/>
                <w:szCs w:val="20"/>
              </w:rPr>
            </w:pPr>
            <w:r w:rsidRPr="00AA1497">
              <w:rPr>
                <w:rFonts w:eastAsia="Times New Roman"/>
                <w:sz w:val="20"/>
                <w:szCs w:val="20"/>
                <w:lang w:eastAsia="lv-LV"/>
              </w:rPr>
              <w:t>Daudzdzīvokļu māju energoefektivitāte</w:t>
            </w:r>
            <w:r w:rsidRPr="00AA1497">
              <w:rPr>
                <w:sz w:val="20"/>
                <w:szCs w:val="20"/>
              </w:rPr>
              <w:t xml:space="preserve"> uzlabošanas pasākumi, veicinot pāreju uz AER tehnoloģiju izmantošanu un, uzlabojot energoefektivitāti, </w:t>
            </w:r>
            <w:r w:rsidRPr="00AA1497">
              <w:rPr>
                <w:sz w:val="20"/>
                <w:szCs w:val="20"/>
                <w:u w:val="single"/>
              </w:rPr>
              <w:t>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w:t>
            </w:r>
            <w:r w:rsidRPr="00AA1497">
              <w:rPr>
                <w:sz w:val="20"/>
                <w:szCs w:val="20"/>
              </w:rPr>
              <w:t xml:space="preserve"> jo ēku uzlabošanas pasākumos paredzēts ņemt vērā klimata pārmaiņu radītos potenciālos riskus, kā arī novērst to ietekmi</w:t>
            </w:r>
            <w:r w:rsidR="0077588A" w:rsidRPr="0077588A">
              <w:rPr>
                <w:sz w:val="20"/>
                <w:szCs w:val="20"/>
              </w:rPr>
              <w:t>, iekļaujot atbilstošas darbības Ministru kabineta noteikumos par SAM īstenošanu</w:t>
            </w:r>
            <w:r w:rsidRPr="00AA1497">
              <w:rPr>
                <w:sz w:val="20"/>
                <w:szCs w:val="20"/>
              </w:rPr>
              <w:t>.</w:t>
            </w:r>
            <w:bookmarkStart w:id="0" w:name="_GoBack"/>
            <w:bookmarkEnd w:id="0"/>
            <w:r w:rsidR="0061797B">
              <w:rPr>
                <w:sz w:val="20"/>
                <w:szCs w:val="20"/>
              </w:rPr>
              <w:t xml:space="preserve"> </w:t>
            </w:r>
            <w:r w:rsidR="00DA0CD5">
              <w:rPr>
                <w:sz w:val="20"/>
                <w:szCs w:val="20"/>
              </w:rPr>
              <w:t xml:space="preserve"> </w:t>
            </w:r>
            <w:r w:rsidR="0061797B">
              <w:rPr>
                <w:sz w:val="20"/>
                <w:szCs w:val="20"/>
              </w:rPr>
              <w:t xml:space="preserve"> </w:t>
            </w:r>
          </w:p>
          <w:p w14:paraId="36E878C8" w14:textId="77777777" w:rsidR="002B083C" w:rsidRPr="00AA1497" w:rsidRDefault="002B083C" w:rsidP="00076ADD">
            <w:pPr>
              <w:spacing w:line="240" w:lineRule="auto"/>
              <w:jc w:val="both"/>
              <w:rPr>
                <w:sz w:val="20"/>
                <w:szCs w:val="20"/>
              </w:rPr>
            </w:pPr>
            <w:r w:rsidRPr="00AA1497">
              <w:rPr>
                <w:sz w:val="20"/>
                <w:szCs w:val="20"/>
              </w:rPr>
              <w:t xml:space="preserve"> </w:t>
            </w:r>
          </w:p>
          <w:p w14:paraId="0F6E5DFC" w14:textId="77777777" w:rsidR="002B083C" w:rsidRPr="00AA1497" w:rsidRDefault="002B083C" w:rsidP="00076ADD">
            <w:pPr>
              <w:spacing w:line="240" w:lineRule="auto"/>
              <w:jc w:val="both"/>
              <w:rPr>
                <w:b/>
                <w:bCs/>
                <w:sz w:val="20"/>
                <w:szCs w:val="20"/>
              </w:rPr>
            </w:pPr>
            <w:r w:rsidRPr="00AA1497">
              <w:rPr>
                <w:b/>
                <w:bCs/>
                <w:sz w:val="20"/>
                <w:szCs w:val="20"/>
              </w:rPr>
              <w:t>Klimata pārmaiņu izpausmes, kas ietekmē paredzētās aktivitātes jomu</w:t>
            </w:r>
          </w:p>
          <w:p w14:paraId="18185169" w14:textId="77777777" w:rsidR="002B083C" w:rsidRPr="00AA1497" w:rsidRDefault="002B083C" w:rsidP="00076ADD">
            <w:pPr>
              <w:spacing w:line="240" w:lineRule="auto"/>
              <w:jc w:val="both"/>
              <w:rPr>
                <w:sz w:val="20"/>
                <w:szCs w:val="20"/>
              </w:rPr>
            </w:pPr>
            <w:r w:rsidRPr="00AA1497">
              <w:rPr>
                <w:sz w:val="20"/>
                <w:szCs w:val="20"/>
              </w:rPr>
              <w:t>Klimata pārmaiņu radīto risku un ievainojamības novērtējumos būvniecības sektoram konstatēts, ka Latvijā būvniecībai ir būtiskas vairākas klimata pārmaiņu izpausmes (tai skaitā ekstrēmi):</w:t>
            </w:r>
          </w:p>
          <w:p w14:paraId="77F7D9D8" w14:textId="77777777" w:rsidR="002B083C" w:rsidRPr="00AA1497" w:rsidRDefault="002B083C" w:rsidP="002B083C">
            <w:pPr>
              <w:pStyle w:val="ListParagraph"/>
              <w:numPr>
                <w:ilvl w:val="0"/>
                <w:numId w:val="7"/>
              </w:numPr>
              <w:suppressAutoHyphens/>
              <w:autoSpaceDN w:val="0"/>
              <w:spacing w:line="240" w:lineRule="auto"/>
              <w:contextualSpacing w:val="0"/>
              <w:jc w:val="both"/>
              <w:textAlignment w:val="baseline"/>
              <w:rPr>
                <w:rFonts w:eastAsiaTheme="minorEastAsia" w:cs="Times New Roman"/>
                <w:sz w:val="20"/>
                <w:szCs w:val="20"/>
                <w:lang w:val="lv-LV"/>
              </w:rPr>
            </w:pPr>
            <w:r w:rsidRPr="00AA1497">
              <w:rPr>
                <w:rFonts w:cs="Times New Roman"/>
                <w:sz w:val="20"/>
                <w:szCs w:val="20"/>
                <w:lang w:val="lv-LV"/>
              </w:rPr>
              <w:t xml:space="preserve">gada vidējās gaisa temperatūras paaugstināšanās, karstuma viļņu biežuma un ilguma pieaugums, meteoroloģiskās vasaras pagarināšanās, diennakts maksimālās temperatūras maksimālās vērtības paaugstināšanās; </w:t>
            </w:r>
          </w:p>
          <w:p w14:paraId="7A6D3637" w14:textId="77777777" w:rsidR="002B083C" w:rsidRPr="00AA1497" w:rsidRDefault="002B083C" w:rsidP="002B083C">
            <w:pPr>
              <w:pStyle w:val="ListParagraph"/>
              <w:numPr>
                <w:ilvl w:val="0"/>
                <w:numId w:val="7"/>
              </w:numPr>
              <w:suppressAutoHyphens/>
              <w:autoSpaceDN w:val="0"/>
              <w:spacing w:line="240" w:lineRule="auto"/>
              <w:contextualSpacing w:val="0"/>
              <w:jc w:val="both"/>
              <w:textAlignment w:val="baseline"/>
              <w:rPr>
                <w:rFonts w:eastAsiaTheme="minorEastAsia" w:cs="Times New Roman"/>
                <w:sz w:val="20"/>
                <w:szCs w:val="20"/>
                <w:lang w:val="lv-LV"/>
              </w:rPr>
            </w:pPr>
            <w:r w:rsidRPr="00AA1497">
              <w:rPr>
                <w:rFonts w:cs="Times New Roman"/>
                <w:sz w:val="20"/>
                <w:szCs w:val="20"/>
                <w:lang w:val="lv-LV"/>
              </w:rPr>
              <w:t>sala dienu un dienu skaita bez atkušņa samazināšanās;</w:t>
            </w:r>
          </w:p>
          <w:p w14:paraId="4AC5DAD5" w14:textId="77777777" w:rsidR="002B083C" w:rsidRPr="00AA1497" w:rsidRDefault="002B083C" w:rsidP="002B083C">
            <w:pPr>
              <w:pStyle w:val="ListParagraph"/>
              <w:numPr>
                <w:ilvl w:val="0"/>
                <w:numId w:val="7"/>
              </w:numPr>
              <w:suppressAutoHyphens/>
              <w:autoSpaceDN w:val="0"/>
              <w:spacing w:line="240" w:lineRule="auto"/>
              <w:contextualSpacing w:val="0"/>
              <w:jc w:val="both"/>
              <w:textAlignment w:val="baseline"/>
              <w:rPr>
                <w:rFonts w:eastAsiaTheme="minorEastAsia" w:cs="Times New Roman"/>
                <w:sz w:val="20"/>
                <w:szCs w:val="20"/>
                <w:lang w:val="lv-LV"/>
              </w:rPr>
            </w:pPr>
            <w:r w:rsidRPr="00AA1497">
              <w:rPr>
                <w:rFonts w:cs="Times New Roman"/>
                <w:sz w:val="20"/>
                <w:szCs w:val="20"/>
                <w:lang w:val="lv-LV"/>
              </w:rPr>
              <w:t>nokrišņu daudzuma palielināšanās un maksimālā vienas diennakts nokrišņu daudzuma palielināšanās, dienu skaita ar ļoti stipriem nokrišņiem palielināšanās, maksimālā piecu diennakšu nokrišņu daudzuma palielināšanās, virs normas strauju sniega nokrišņu palielināšanās;</w:t>
            </w:r>
          </w:p>
          <w:p w14:paraId="23690B27" w14:textId="77777777" w:rsidR="002B083C" w:rsidRPr="00AA1497" w:rsidRDefault="002B083C" w:rsidP="002B083C">
            <w:pPr>
              <w:pStyle w:val="ListParagraph"/>
              <w:numPr>
                <w:ilvl w:val="0"/>
                <w:numId w:val="7"/>
              </w:numPr>
              <w:suppressAutoHyphens/>
              <w:autoSpaceDN w:val="0"/>
              <w:spacing w:line="240" w:lineRule="auto"/>
              <w:contextualSpacing w:val="0"/>
              <w:jc w:val="both"/>
              <w:textAlignment w:val="baseline"/>
              <w:rPr>
                <w:rFonts w:eastAsiaTheme="minorEastAsia" w:cs="Times New Roman"/>
                <w:sz w:val="20"/>
                <w:szCs w:val="20"/>
                <w:lang w:val="lv-LV"/>
              </w:rPr>
            </w:pPr>
            <w:r w:rsidRPr="00AA1497">
              <w:rPr>
                <w:rFonts w:cs="Times New Roman"/>
                <w:sz w:val="20"/>
                <w:szCs w:val="20"/>
                <w:lang w:val="lv-LV"/>
              </w:rPr>
              <w:t>vidējā jūras ūdens līmeņa celšanās ilgtermiņā un krasta erozija attīstība, kā arī gruntsūdeņa līmeņa svārstības, ko ietekmē nokrišņu un jūras ūdens līmeņa izmaiņas, un upju noteces režīma izmaiņas.</w:t>
            </w:r>
          </w:p>
          <w:p w14:paraId="0FDD8E9E" w14:textId="77777777" w:rsidR="002B083C" w:rsidRPr="00AA1497" w:rsidRDefault="002B083C" w:rsidP="00076ADD">
            <w:pPr>
              <w:spacing w:line="240" w:lineRule="auto"/>
              <w:jc w:val="both"/>
              <w:rPr>
                <w:sz w:val="20"/>
                <w:szCs w:val="20"/>
              </w:rPr>
            </w:pPr>
            <w:r w:rsidRPr="00AA1497">
              <w:rPr>
                <w:sz w:val="20"/>
                <w:szCs w:val="20"/>
              </w:rPr>
              <w:t xml:space="preserve"> </w:t>
            </w:r>
          </w:p>
          <w:p w14:paraId="41B506C2" w14:textId="77777777" w:rsidR="002B083C" w:rsidRPr="00AA1497" w:rsidRDefault="002B083C" w:rsidP="00076ADD">
            <w:pPr>
              <w:spacing w:line="240" w:lineRule="auto"/>
              <w:jc w:val="both"/>
              <w:rPr>
                <w:sz w:val="20"/>
                <w:szCs w:val="20"/>
              </w:rPr>
            </w:pPr>
            <w:r w:rsidRPr="00AA1497">
              <w:rPr>
                <w:sz w:val="20"/>
                <w:szCs w:val="20"/>
              </w:rPr>
              <w:t xml:space="preserve"> </w:t>
            </w:r>
          </w:p>
          <w:p w14:paraId="58D125A1" w14:textId="77777777" w:rsidR="002B083C" w:rsidRPr="00AA1497" w:rsidRDefault="002B083C" w:rsidP="00076ADD">
            <w:pPr>
              <w:spacing w:line="240" w:lineRule="auto"/>
              <w:jc w:val="both"/>
              <w:rPr>
                <w:sz w:val="20"/>
                <w:szCs w:val="20"/>
              </w:rPr>
            </w:pPr>
            <w:r w:rsidRPr="00AA1497">
              <w:rPr>
                <w:b/>
                <w:bCs/>
                <w:sz w:val="20"/>
                <w:szCs w:val="20"/>
              </w:rPr>
              <w:t xml:space="preserve">Risku novērtējumos konstatētie klimata pārmaiņu radītie riski </w:t>
            </w:r>
            <w:r w:rsidRPr="00AA1497">
              <w:rPr>
                <w:sz w:val="20"/>
                <w:szCs w:val="20"/>
              </w:rPr>
              <w:t xml:space="preserve"> un to iespējamās sekas:</w:t>
            </w:r>
          </w:p>
          <w:p w14:paraId="6A9D7391" w14:textId="77777777" w:rsidR="002B083C" w:rsidRPr="00AA1497" w:rsidRDefault="002B083C" w:rsidP="00076ADD">
            <w:pPr>
              <w:spacing w:line="240" w:lineRule="auto"/>
              <w:jc w:val="both"/>
              <w:rPr>
                <w:sz w:val="20"/>
                <w:szCs w:val="20"/>
              </w:rPr>
            </w:pPr>
            <w:r w:rsidRPr="00AA1497">
              <w:rPr>
                <w:sz w:val="20"/>
                <w:szCs w:val="20"/>
              </w:rPr>
              <w:t xml:space="preserve"> </w:t>
            </w:r>
          </w:p>
          <w:tbl>
            <w:tblPr>
              <w:tblW w:w="9941" w:type="dxa"/>
              <w:tblLayout w:type="fixed"/>
              <w:tblLook w:val="06A0" w:firstRow="1" w:lastRow="0" w:firstColumn="1" w:lastColumn="0" w:noHBand="1" w:noVBand="1"/>
            </w:tblPr>
            <w:tblGrid>
              <w:gridCol w:w="3352"/>
              <w:gridCol w:w="6589"/>
            </w:tblGrid>
            <w:tr w:rsidR="002B083C" w:rsidRPr="00AA1497" w14:paraId="38206A8C" w14:textId="77777777" w:rsidTr="00076ADD">
              <w:tc>
                <w:tcPr>
                  <w:tcW w:w="335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56778F6" w14:textId="77777777" w:rsidR="002B083C" w:rsidRPr="00AA1497" w:rsidRDefault="002B083C" w:rsidP="00076ADD">
                  <w:pPr>
                    <w:rPr>
                      <w:sz w:val="20"/>
                      <w:szCs w:val="20"/>
                    </w:rPr>
                  </w:pPr>
                  <w:r w:rsidRPr="00AA1497">
                    <w:rPr>
                      <w:b/>
                      <w:bCs/>
                      <w:sz w:val="20"/>
                      <w:szCs w:val="20"/>
                    </w:rPr>
                    <w:lastRenderedPageBreak/>
                    <w:t>Nokrišņu plūdu radīto bojājumu pieaugums ēkām</w:t>
                  </w:r>
                </w:p>
              </w:tc>
              <w:tc>
                <w:tcPr>
                  <w:tcW w:w="658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9855CC" w14:textId="77777777" w:rsidR="002B083C" w:rsidRPr="00AA1497" w:rsidRDefault="002B083C" w:rsidP="00076ADD">
                  <w:pPr>
                    <w:rPr>
                      <w:sz w:val="20"/>
                      <w:szCs w:val="20"/>
                    </w:rPr>
                  </w:pPr>
                  <w:r w:rsidRPr="00AA1497">
                    <w:rPr>
                      <w:sz w:val="20"/>
                      <w:szCs w:val="20"/>
                    </w:rPr>
                    <w:t>Bojājumi ēkām pilsētās ar kanalizācijas kapacitātes nepietiekamību, bojājumi ēkām ūdensteču un ūdenstilpju plūdu teritorijās; ēku remonta nepieciešamība vai nelabojami bojājumi; ēkas norakstīšana; ēku vērtības krišanās un apdrošināšanas cenu pieaugums; drošības un komforta samazināšanās.</w:t>
                  </w:r>
                </w:p>
              </w:tc>
            </w:tr>
            <w:tr w:rsidR="002B083C" w:rsidRPr="00AA1497" w14:paraId="11F55471" w14:textId="77777777" w:rsidTr="00076ADD">
              <w:tc>
                <w:tcPr>
                  <w:tcW w:w="335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EA444DD" w14:textId="77777777" w:rsidR="002B083C" w:rsidRPr="00AA1497" w:rsidRDefault="002B083C" w:rsidP="00076ADD">
                  <w:pPr>
                    <w:rPr>
                      <w:sz w:val="20"/>
                      <w:szCs w:val="20"/>
                    </w:rPr>
                  </w:pPr>
                  <w:r w:rsidRPr="00AA1497">
                    <w:rPr>
                      <w:b/>
                      <w:bCs/>
                      <w:sz w:val="20"/>
                      <w:szCs w:val="20"/>
                    </w:rPr>
                    <w:t>Pārslodzes pieaugums uz ēku jumtiem no liela nokrišņu daudzuma sniega formā īslaicīgā periodā gadījumos</w:t>
                  </w:r>
                </w:p>
              </w:tc>
              <w:tc>
                <w:tcPr>
                  <w:tcW w:w="658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F2C17B" w14:textId="77777777" w:rsidR="002B083C" w:rsidRPr="00AA1497" w:rsidRDefault="002B083C" w:rsidP="00076ADD">
                  <w:pPr>
                    <w:rPr>
                      <w:sz w:val="20"/>
                      <w:szCs w:val="20"/>
                    </w:rPr>
                  </w:pPr>
                  <w:r w:rsidRPr="00AA1497">
                    <w:rPr>
                      <w:sz w:val="20"/>
                      <w:szCs w:val="20"/>
                    </w:rPr>
                    <w:t xml:space="preserve">Bojājumi ēku konstrukcijām (pastiprināta mikroplaisu veidošanās slodzes dēļ, mitruma bojājumi); jumtu sabrukšana; pelējuma palielināšanās; dzīvības un īpašuma apdraudējums. </w:t>
                  </w:r>
                </w:p>
              </w:tc>
            </w:tr>
            <w:tr w:rsidR="002B083C" w:rsidRPr="00AA1497" w14:paraId="6CC378FC" w14:textId="77777777" w:rsidTr="00076ADD">
              <w:tc>
                <w:tcPr>
                  <w:tcW w:w="335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BB534D7" w14:textId="77777777" w:rsidR="002B083C" w:rsidRPr="00AA1497" w:rsidRDefault="002B083C" w:rsidP="00076ADD">
                  <w:pPr>
                    <w:rPr>
                      <w:sz w:val="20"/>
                      <w:szCs w:val="20"/>
                    </w:rPr>
                  </w:pPr>
                  <w:r w:rsidRPr="00AA1497">
                    <w:rPr>
                      <w:b/>
                      <w:bCs/>
                      <w:sz w:val="20"/>
                      <w:szCs w:val="20"/>
                    </w:rPr>
                    <w:t>Ēku pamatu un grunts bojājumi gruntsūdeņu līmeņa svārstību dēļ</w:t>
                  </w:r>
                </w:p>
              </w:tc>
              <w:tc>
                <w:tcPr>
                  <w:tcW w:w="658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1B8E204" w14:textId="77777777" w:rsidR="002B083C" w:rsidRPr="00AA1497" w:rsidRDefault="002B083C" w:rsidP="00076ADD">
                  <w:pPr>
                    <w:rPr>
                      <w:sz w:val="20"/>
                      <w:szCs w:val="20"/>
                    </w:rPr>
                  </w:pPr>
                  <w:r w:rsidRPr="00AA1497">
                    <w:rPr>
                      <w:sz w:val="20"/>
                      <w:szCs w:val="20"/>
                    </w:rPr>
                    <w:t xml:space="preserve">Apdraudējums ēku un to pamatu konstrukciju noturībai un stabilitātei (vislielākais apdraudējums ir vecām ēkām, kuru pamatu noturībai un hidroizolācijai, ja tāda ir, ir ievērojams nolietojums), ilgtermiņā rada arī mikroplaisas un palielina mitruma iespiešanos ēkas konstrukcijās. </w:t>
                  </w:r>
                </w:p>
              </w:tc>
            </w:tr>
            <w:tr w:rsidR="002B083C" w:rsidRPr="00AA1497" w14:paraId="376C8EFD" w14:textId="77777777" w:rsidTr="00076ADD">
              <w:tc>
                <w:tcPr>
                  <w:tcW w:w="335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054AF8" w14:textId="77777777" w:rsidR="002B083C" w:rsidRPr="00AA1497" w:rsidRDefault="002B083C" w:rsidP="00076ADD">
                  <w:pPr>
                    <w:rPr>
                      <w:sz w:val="20"/>
                      <w:szCs w:val="20"/>
                    </w:rPr>
                  </w:pPr>
                  <w:r w:rsidRPr="00AA1497">
                    <w:rPr>
                      <w:b/>
                      <w:bCs/>
                      <w:sz w:val="20"/>
                      <w:szCs w:val="20"/>
                    </w:rPr>
                    <w:t>Iekštelpu pārkaršana un elektroenerģijas pieprasījuma pieaugums vasarā</w:t>
                  </w:r>
                </w:p>
              </w:tc>
              <w:tc>
                <w:tcPr>
                  <w:tcW w:w="658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19C377" w14:textId="77777777" w:rsidR="002B083C" w:rsidRPr="00AA1497" w:rsidRDefault="002B083C" w:rsidP="00076ADD">
                  <w:pPr>
                    <w:rPr>
                      <w:sz w:val="20"/>
                      <w:szCs w:val="20"/>
                    </w:rPr>
                  </w:pPr>
                  <w:r w:rsidRPr="00AA1497">
                    <w:rPr>
                      <w:sz w:val="20"/>
                      <w:szCs w:val="20"/>
                    </w:rPr>
                    <w:t>Pieprasījuma palielināšanās pēc iekštelpu dzesēšanas; telpu dzesēšanas un ventilācijas investīciju instalēšanas; cilvēku labsajūtas un veselības pasliktināšanās; darba produktivitātes samazināšanās; ārkārtas gadījumu izmaksu paaugstināšanās; investīciju pieaugums sabiedrībai; elektroenerģijas patēriņa un izmaksu pieaugums vasarā.</w:t>
                  </w:r>
                </w:p>
              </w:tc>
            </w:tr>
          </w:tbl>
          <w:p w14:paraId="5AB642D2" w14:textId="77777777" w:rsidR="002B083C" w:rsidRPr="00AA1497" w:rsidRDefault="002B083C" w:rsidP="00076ADD">
            <w:pPr>
              <w:spacing w:line="240" w:lineRule="auto"/>
              <w:jc w:val="both"/>
              <w:rPr>
                <w:sz w:val="20"/>
                <w:szCs w:val="20"/>
              </w:rPr>
            </w:pPr>
            <w:r w:rsidRPr="00AA1497">
              <w:rPr>
                <w:sz w:val="20"/>
                <w:szCs w:val="20"/>
              </w:rPr>
              <w:t xml:space="preserve"> </w:t>
            </w:r>
          </w:p>
          <w:p w14:paraId="1D2E53FF" w14:textId="77777777" w:rsidR="002B083C" w:rsidRPr="00AA1497" w:rsidRDefault="002B083C" w:rsidP="00076ADD">
            <w:pPr>
              <w:spacing w:line="240" w:lineRule="auto"/>
              <w:jc w:val="both"/>
              <w:rPr>
                <w:sz w:val="20"/>
                <w:szCs w:val="20"/>
              </w:rPr>
            </w:pPr>
            <w:r w:rsidRPr="00AA1497">
              <w:rPr>
                <w:sz w:val="20"/>
                <w:szCs w:val="20"/>
              </w:rPr>
              <w:t xml:space="preserve"> </w:t>
            </w:r>
            <w:r w:rsidRPr="00AA1497">
              <w:rPr>
                <w:b/>
                <w:bCs/>
                <w:sz w:val="20"/>
                <w:szCs w:val="20"/>
              </w:rPr>
              <w:t>Potenciālās plānotās aktivitātes un to sasaiste ar pielāgošanās klimata pārmaiņām mērķiem</w:t>
            </w:r>
            <w:r w:rsidRPr="00AA1497">
              <w:rPr>
                <w:sz w:val="20"/>
                <w:szCs w:val="20"/>
              </w:rPr>
              <w:t xml:space="preserve"> </w:t>
            </w:r>
          </w:p>
          <w:p w14:paraId="15593215" w14:textId="77777777" w:rsidR="002B083C" w:rsidRPr="00AA1497" w:rsidRDefault="002B083C" w:rsidP="002B083C">
            <w:pPr>
              <w:pStyle w:val="ListParagraph"/>
              <w:numPr>
                <w:ilvl w:val="0"/>
                <w:numId w:val="4"/>
              </w:numPr>
              <w:suppressAutoHyphens/>
              <w:autoSpaceDN w:val="0"/>
              <w:spacing w:line="240" w:lineRule="auto"/>
              <w:contextualSpacing w:val="0"/>
              <w:jc w:val="both"/>
              <w:textAlignment w:val="baseline"/>
              <w:rPr>
                <w:rFonts w:eastAsiaTheme="minorEastAsia" w:cs="Times New Roman"/>
                <w:sz w:val="20"/>
                <w:szCs w:val="20"/>
                <w:lang w:val="lv-LV"/>
              </w:rPr>
            </w:pPr>
            <w:r w:rsidRPr="00AA1497">
              <w:rPr>
                <w:rFonts w:cs="Times New Roman"/>
                <w:sz w:val="20"/>
                <w:szCs w:val="20"/>
                <w:lang w:val="lv-LV"/>
              </w:rPr>
              <w:t>Tā kā vairāki no prognozētajiem klimata pārmaiņu radītajiem riskiem būvniecībā ir saistīti ar nokrišņu intensitātes palielinājumu, tad ēku renovācija būs saskaņā ar prognozēto nokrišņu intensitātes palielinājumu, paredzot atbilstošus lietus notekūdens sistēmu risinājumus intensīvu nokrišņu gadījumiem, dodot priekšroku zaļās infrastruktūras elementiem, izmantojot dabā balstītus risinājumus.</w:t>
            </w:r>
          </w:p>
          <w:p w14:paraId="19E31E4E" w14:textId="77777777" w:rsidR="002B083C" w:rsidRPr="00AA1497" w:rsidRDefault="002B083C" w:rsidP="002B083C">
            <w:pPr>
              <w:pStyle w:val="ListParagraph"/>
              <w:numPr>
                <w:ilvl w:val="0"/>
                <w:numId w:val="4"/>
              </w:numPr>
              <w:suppressAutoHyphens/>
              <w:autoSpaceDN w:val="0"/>
              <w:spacing w:line="240" w:lineRule="auto"/>
              <w:contextualSpacing w:val="0"/>
              <w:jc w:val="both"/>
              <w:textAlignment w:val="baseline"/>
              <w:rPr>
                <w:rFonts w:eastAsiaTheme="minorEastAsia" w:cs="Times New Roman"/>
                <w:sz w:val="20"/>
                <w:szCs w:val="20"/>
                <w:lang w:val="lv-LV"/>
              </w:rPr>
            </w:pPr>
            <w:r w:rsidRPr="00AA1497">
              <w:rPr>
                <w:rFonts w:cs="Times New Roman"/>
                <w:sz w:val="20"/>
                <w:szCs w:val="20"/>
                <w:lang w:val="lv-LV"/>
              </w:rPr>
              <w:t>Tā kā viens no prognozētajiem klimata pārmaiņu izraisītajiem riskiem būvniecībā Latvijā ir iekštelpu pārkaršana, būvniecības projektos tiks paredzēti atbilstoši telpu dzesēšanas un ventilācijas risinājumi, lai nodrošinātu komforta temperatūru arī karstuma viļņu laikā.</w:t>
            </w:r>
          </w:p>
          <w:p w14:paraId="390E6589" w14:textId="77777777" w:rsidR="002B083C" w:rsidRPr="00AA1497" w:rsidRDefault="002B083C" w:rsidP="002B083C">
            <w:pPr>
              <w:pStyle w:val="ListParagraph"/>
              <w:numPr>
                <w:ilvl w:val="0"/>
                <w:numId w:val="4"/>
              </w:numPr>
              <w:suppressAutoHyphens/>
              <w:autoSpaceDN w:val="0"/>
              <w:spacing w:line="240" w:lineRule="auto"/>
              <w:contextualSpacing w:val="0"/>
              <w:jc w:val="both"/>
              <w:textAlignment w:val="baseline"/>
              <w:rPr>
                <w:rFonts w:eastAsiaTheme="minorEastAsia" w:cs="Times New Roman"/>
                <w:sz w:val="20"/>
                <w:szCs w:val="20"/>
                <w:lang w:val="lv-LV"/>
              </w:rPr>
            </w:pPr>
            <w:r w:rsidRPr="00AA1497">
              <w:rPr>
                <w:rFonts w:cs="Times New Roman"/>
                <w:sz w:val="20"/>
                <w:szCs w:val="20"/>
                <w:lang w:val="lv-LV"/>
              </w:rPr>
              <w:t xml:space="preserve">Ēku konstrukciju risinājumos būs paredzēta atbilstoša hidroizolācija, lai samazinātu  ēku bojājumu iespēju gruntsūdeņu svārstību dēļ. </w:t>
            </w:r>
          </w:p>
          <w:p w14:paraId="785A1261" w14:textId="77777777" w:rsidR="002B083C" w:rsidRPr="00AA1497" w:rsidRDefault="002B083C" w:rsidP="002B083C">
            <w:pPr>
              <w:pStyle w:val="ListParagraph"/>
              <w:numPr>
                <w:ilvl w:val="0"/>
                <w:numId w:val="4"/>
              </w:numPr>
              <w:suppressAutoHyphens/>
              <w:autoSpaceDN w:val="0"/>
              <w:spacing w:line="240" w:lineRule="auto"/>
              <w:contextualSpacing w:val="0"/>
              <w:jc w:val="both"/>
              <w:textAlignment w:val="baseline"/>
              <w:rPr>
                <w:rFonts w:cs="Times New Roman"/>
                <w:sz w:val="20"/>
                <w:szCs w:val="20"/>
                <w:lang w:val="lv-LV"/>
              </w:rPr>
            </w:pPr>
            <w:r w:rsidRPr="00AA1497">
              <w:rPr>
                <w:rFonts w:cs="Times New Roman"/>
                <w:sz w:val="20"/>
                <w:szCs w:val="20"/>
                <w:lang w:val="lv-LV"/>
              </w:rPr>
              <w:t>Tehnoloģisko iekārtu energoefektivitātes uzlabošanas pasākums vērsts uz energoresursu efektīvu izmantošanu, kas labvēlīgi ietekmē pielāgošanos klimata pārmaiņām</w:t>
            </w:r>
          </w:p>
          <w:p w14:paraId="32801CBC" w14:textId="77777777" w:rsidR="002B083C" w:rsidRPr="00AA1497" w:rsidRDefault="002B083C" w:rsidP="002B083C">
            <w:pPr>
              <w:pStyle w:val="ListParagraph"/>
              <w:numPr>
                <w:ilvl w:val="0"/>
                <w:numId w:val="4"/>
              </w:numPr>
              <w:suppressAutoHyphens/>
              <w:autoSpaceDN w:val="0"/>
              <w:spacing w:line="240" w:lineRule="auto"/>
              <w:contextualSpacing w:val="0"/>
              <w:jc w:val="both"/>
              <w:textAlignment w:val="baseline"/>
              <w:rPr>
                <w:rFonts w:eastAsiaTheme="minorEastAsia" w:cs="Times New Roman"/>
                <w:sz w:val="20"/>
                <w:szCs w:val="20"/>
                <w:lang w:val="lv-LV"/>
              </w:rPr>
            </w:pPr>
            <w:r w:rsidRPr="00AA1497">
              <w:rPr>
                <w:rFonts w:cs="Times New Roman"/>
                <w:sz w:val="20"/>
                <w:szCs w:val="20"/>
                <w:lang w:val="lv-LV"/>
              </w:rPr>
              <w:t>Tādējādi nav pierādījumu par nozīmīgu negatīvu tiešo un primāro netiešo ietekmi uz šo vides mērķi visā pasākuma aprites ciklā.</w:t>
            </w:r>
          </w:p>
          <w:p w14:paraId="77DB17C2" w14:textId="77777777" w:rsidR="002B083C" w:rsidRPr="00AA1497" w:rsidRDefault="002B083C" w:rsidP="00076ADD">
            <w:pPr>
              <w:spacing w:line="240" w:lineRule="auto"/>
              <w:jc w:val="both"/>
              <w:rPr>
                <w:sz w:val="20"/>
                <w:szCs w:val="20"/>
              </w:rPr>
            </w:pPr>
            <w:r w:rsidRPr="00AA1497">
              <w:rPr>
                <w:sz w:val="20"/>
                <w:szCs w:val="20"/>
              </w:rPr>
              <w:lastRenderedPageBreak/>
              <w:t xml:space="preserve"> </w:t>
            </w:r>
          </w:p>
          <w:p w14:paraId="2B2B67E9" w14:textId="77777777" w:rsidR="002B083C" w:rsidRPr="00AA1497" w:rsidRDefault="002B083C" w:rsidP="00076ADD">
            <w:pPr>
              <w:spacing w:line="240" w:lineRule="auto"/>
              <w:jc w:val="both"/>
              <w:rPr>
                <w:sz w:val="20"/>
                <w:szCs w:val="20"/>
              </w:rPr>
            </w:pPr>
            <w:r w:rsidRPr="00AA1497">
              <w:rPr>
                <w:b/>
                <w:bCs/>
                <w:sz w:val="20"/>
                <w:szCs w:val="20"/>
              </w:rPr>
              <w:t>Sasaiste ar nacionālajiem pielāgošanās klimata pārmaiņām plānošanas dokumentiem</w:t>
            </w:r>
            <w:r w:rsidRPr="00AA1497">
              <w:rPr>
                <w:sz w:val="20"/>
                <w:szCs w:val="20"/>
              </w:rPr>
              <w:t xml:space="preserve"> </w:t>
            </w:r>
          </w:p>
          <w:p w14:paraId="3B3E27FE" w14:textId="77777777" w:rsidR="002B083C" w:rsidRPr="00AA1497" w:rsidRDefault="002B083C" w:rsidP="00076ADD">
            <w:pPr>
              <w:spacing w:line="240" w:lineRule="auto"/>
              <w:jc w:val="both"/>
              <w:rPr>
                <w:sz w:val="20"/>
                <w:szCs w:val="20"/>
              </w:rPr>
            </w:pPr>
            <w:r w:rsidRPr="00AA1497">
              <w:rPr>
                <w:sz w:val="20"/>
                <w:szCs w:val="20"/>
              </w:rPr>
              <w:t>Pasākums atbilst</w:t>
            </w:r>
            <w:r w:rsidRPr="00AA1497">
              <w:rPr>
                <w:b/>
                <w:bCs/>
                <w:sz w:val="20"/>
                <w:szCs w:val="20"/>
              </w:rPr>
              <w:t xml:space="preserve"> </w:t>
            </w:r>
            <w:r w:rsidRPr="00AA1497">
              <w:rPr>
                <w:sz w:val="20"/>
                <w:szCs w:val="20"/>
              </w:rPr>
              <w:t>Latvijas pielāgošanās klimata pārmaiņām plāna laika posmam līdz 2030. gadam paredzētajam rīcības virzienam  - būvju un ēku pielāgošana klimata pārmaiņu ietekmēm un slodzēm, veicinot ēkās tādu materiālu un tehnoloģiju izmantošanu, t.sk zaļās infrastruktūras risinājumu ieviešanu, kas pasargā ēkas no siltuma uzkaršanas, lai samazinātu kondicionēšanas sistēmu uzstādīšanas un lietošanas nepieciešamību. Papildus tam paredzētās aktivitātes plānotas būt saskanīgas ar Latvijas pielāgošanās klimata pārmaiņām plānā laika posmam līdz 2030. gadam paredzētajiem pasākumiem:</w:t>
            </w:r>
          </w:p>
          <w:p w14:paraId="5A9106A6" w14:textId="77777777" w:rsidR="002B083C" w:rsidRPr="00AA1497" w:rsidRDefault="002B083C" w:rsidP="002B083C">
            <w:pPr>
              <w:pStyle w:val="ListParagraph"/>
              <w:numPr>
                <w:ilvl w:val="0"/>
                <w:numId w:val="3"/>
              </w:numPr>
              <w:suppressAutoHyphens/>
              <w:autoSpaceDN w:val="0"/>
              <w:spacing w:line="240" w:lineRule="auto"/>
              <w:contextualSpacing w:val="0"/>
              <w:jc w:val="both"/>
              <w:textAlignment w:val="baseline"/>
              <w:rPr>
                <w:rFonts w:eastAsiaTheme="minorEastAsia" w:cs="Times New Roman"/>
                <w:sz w:val="20"/>
                <w:szCs w:val="20"/>
                <w:lang w:val="lv-LV"/>
              </w:rPr>
            </w:pPr>
            <w:r w:rsidRPr="00AA1497">
              <w:rPr>
                <w:rFonts w:cs="Times New Roman"/>
                <w:sz w:val="20"/>
                <w:szCs w:val="20"/>
                <w:lang w:val="lv-LV"/>
              </w:rPr>
              <w:t>Veicināt ēkās tādu materiālu un tehnoloģiju izmantošanu, t.sk zaļās infrastruktūras risinājumu ieviešanu, kas pasargā ēkas no siltuma uzkaršanas, lai samazinātu kondicionēšanas sistēmu uzstādīšanas un lietošanas nepieciešamību.</w:t>
            </w:r>
          </w:p>
          <w:p w14:paraId="08B9042C" w14:textId="77777777" w:rsidR="002B083C" w:rsidRPr="00AA1497" w:rsidRDefault="002B083C" w:rsidP="002B083C">
            <w:pPr>
              <w:pStyle w:val="ListParagraph"/>
              <w:numPr>
                <w:ilvl w:val="0"/>
                <w:numId w:val="3"/>
              </w:numPr>
              <w:suppressAutoHyphens/>
              <w:autoSpaceDN w:val="0"/>
              <w:spacing w:line="240" w:lineRule="auto"/>
              <w:contextualSpacing w:val="0"/>
              <w:jc w:val="both"/>
              <w:textAlignment w:val="baseline"/>
              <w:rPr>
                <w:rFonts w:eastAsiaTheme="minorEastAsia" w:cs="Times New Roman"/>
                <w:sz w:val="20"/>
                <w:szCs w:val="20"/>
                <w:lang w:val="lv-LV"/>
              </w:rPr>
            </w:pPr>
            <w:r w:rsidRPr="00AA1497">
              <w:rPr>
                <w:rFonts w:cs="Times New Roman"/>
                <w:sz w:val="20"/>
                <w:szCs w:val="20"/>
                <w:lang w:val="lv-LV"/>
              </w:rPr>
              <w:t xml:space="preserve">Izvērtēt un ieplānot papildus ietilpības nepieciešamību lietus ūdens savākšanai pilsētās, t.sk. veikt maksimālo nokrišņu vērtējumus dažādām varbūtībām klimata pārmaiņu ietekmē, lai pasargātu ēkas un būves no lietus ūdens slodzes (pamatu izskalošanas u.tml.). </w:t>
            </w:r>
          </w:p>
          <w:p w14:paraId="3CE1B4BF" w14:textId="77777777" w:rsidR="002B083C" w:rsidRPr="00AA1497" w:rsidRDefault="002B083C" w:rsidP="002B083C">
            <w:pPr>
              <w:pStyle w:val="ListParagraph"/>
              <w:numPr>
                <w:ilvl w:val="0"/>
                <w:numId w:val="3"/>
              </w:numPr>
              <w:suppressAutoHyphens/>
              <w:autoSpaceDN w:val="0"/>
              <w:spacing w:line="240" w:lineRule="auto"/>
              <w:contextualSpacing w:val="0"/>
              <w:jc w:val="both"/>
              <w:textAlignment w:val="baseline"/>
              <w:rPr>
                <w:rFonts w:eastAsiaTheme="minorEastAsia" w:cs="Times New Roman"/>
                <w:sz w:val="20"/>
                <w:szCs w:val="20"/>
                <w:lang w:val="lv-LV"/>
              </w:rPr>
            </w:pPr>
            <w:r w:rsidRPr="00AA1497">
              <w:rPr>
                <w:rFonts w:cs="Times New Roman"/>
                <w:sz w:val="20"/>
                <w:szCs w:val="20"/>
                <w:lang w:val="lv-LV"/>
              </w:rPr>
              <w:t>Uzlabot lietus kanalizācijas sistēmas un caurtekas pilsētās,  papildinot tās ar zaļās infrastruktūras elementiem, iepriekš definējot to nepieciešamo kapacitāti, ņemot vērā klimata pārmaiņas, kā arī veicināt ilgtspējīgu lietus ūdens apsaimniekošanu un lietus ūdens izmantošanu vietās, kur nav nepieciešams ūdens dzeramā ūdens kvalitātē.</w:t>
            </w:r>
          </w:p>
        </w:tc>
      </w:tr>
      <w:tr w:rsidR="002B083C" w:rsidRPr="00AA1497" w14:paraId="35C8B415" w14:textId="77777777" w:rsidTr="00076ADD">
        <w:trPr>
          <w:trHeight w:val="382"/>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B22D828" w14:textId="77777777" w:rsidR="002B083C" w:rsidRPr="00AA1497" w:rsidRDefault="002B083C" w:rsidP="00076ADD">
            <w:pPr>
              <w:spacing w:line="240" w:lineRule="auto"/>
              <w:jc w:val="both"/>
              <w:rPr>
                <w:rFonts w:eastAsia="Times New Roman"/>
                <w:b/>
                <w:bCs/>
                <w:sz w:val="20"/>
                <w:szCs w:val="20"/>
                <w:lang w:eastAsia="lv-LV"/>
              </w:rPr>
            </w:pPr>
            <w:r w:rsidRPr="00AA1497">
              <w:rPr>
                <w:rFonts w:eastAsia="Times New Roman"/>
                <w:b/>
                <w:bCs/>
                <w:sz w:val="20"/>
                <w:szCs w:val="20"/>
                <w:lang w:eastAsia="lv-LV"/>
              </w:rPr>
              <w:lastRenderedPageBreak/>
              <w:t>Ūdens un jūras resursu ilgtspējīga izmantošana un aizsardzība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2CB5BE8" w14:textId="77777777" w:rsidR="002B083C" w:rsidRPr="00AA1497" w:rsidRDefault="002B083C" w:rsidP="00076ADD">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E91CA45" w14:textId="77777777" w:rsidR="002B083C" w:rsidRPr="00AA1497" w:rsidRDefault="002B083C" w:rsidP="00076ADD">
            <w:pPr>
              <w:spacing w:line="240" w:lineRule="auto"/>
              <w:jc w:val="center"/>
              <w:rPr>
                <w:rFonts w:eastAsia="Times New Roman"/>
                <w:b/>
                <w:bCs/>
                <w:sz w:val="20"/>
                <w:szCs w:val="20"/>
                <w:lang w:eastAsia="lv-LV"/>
              </w:rPr>
            </w:pPr>
            <w:r w:rsidRPr="00AA1497">
              <w:rPr>
                <w:rFonts w:eastAsia="Times New Roman"/>
                <w:b/>
                <w:bCs/>
                <w:sz w:val="20"/>
                <w:szCs w:val="20"/>
                <w:lang w:eastAsia="lv-LV"/>
              </w:rPr>
              <w:t>X</w:t>
            </w: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2A097DA1" w14:textId="77777777" w:rsidR="002B083C" w:rsidRPr="00AA1497" w:rsidRDefault="002B083C" w:rsidP="00076ADD">
            <w:pPr>
              <w:spacing w:line="240" w:lineRule="auto"/>
              <w:jc w:val="both"/>
              <w:rPr>
                <w:rFonts w:eastAsia="Times New Roman"/>
                <w:sz w:val="20"/>
                <w:szCs w:val="20"/>
                <w:lang w:eastAsia="lv-LV"/>
              </w:rPr>
            </w:pPr>
            <w:r w:rsidRPr="00AA1497">
              <w:rPr>
                <w:rFonts w:eastAsia="Times New Roman"/>
                <w:sz w:val="20"/>
                <w:szCs w:val="20"/>
                <w:lang w:eastAsia="lv-LV"/>
              </w:rPr>
              <w:t xml:space="preserve">Pasākumam nav paredzama ietekme uz vides mērķi vai paredzamā ietekme ir nebūtiska saistībā ar pasākuma tiešajām un primārajām netiešajam sekām visā tā dzīves ciklā, ņemot vērā tā būtību, un tādējādi tas tiek uzskatīts par atbilstīgu NBK attiecībā uz attiecīgo mērķi. </w:t>
            </w:r>
          </w:p>
          <w:p w14:paraId="492544AE" w14:textId="77777777" w:rsidR="002B083C" w:rsidRPr="00AA1497" w:rsidRDefault="002B083C" w:rsidP="00076ADD">
            <w:pPr>
              <w:spacing w:before="120" w:line="240" w:lineRule="auto"/>
              <w:jc w:val="both"/>
              <w:rPr>
                <w:rFonts w:eastAsia="Times New Roman"/>
                <w:sz w:val="20"/>
                <w:szCs w:val="20"/>
                <w:lang w:eastAsia="lv-LV"/>
              </w:rPr>
            </w:pPr>
            <w:r w:rsidRPr="00AA1497">
              <w:rPr>
                <w:rFonts w:eastAsia="Times New Roman"/>
                <w:sz w:val="20"/>
                <w:szCs w:val="20"/>
                <w:lang w:eastAsia="lv-LV"/>
              </w:rPr>
              <w:t xml:space="preserve">Plānotas investīcijas paredz nenozīmīgu ietekmi uz šo vides aspektu, ja tiek paredzēta ūdensapgādes un notekūdeņu tīklu renovācija. </w:t>
            </w:r>
          </w:p>
        </w:tc>
      </w:tr>
      <w:tr w:rsidR="002B083C" w:rsidRPr="00AA1497" w14:paraId="05F17D2C" w14:textId="77777777" w:rsidTr="00076ADD">
        <w:trPr>
          <w:trHeight w:val="388"/>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FB1608B" w14:textId="77777777" w:rsidR="002B083C" w:rsidRPr="00AA1497" w:rsidRDefault="002B083C" w:rsidP="00076ADD">
            <w:pPr>
              <w:spacing w:line="240" w:lineRule="auto"/>
              <w:jc w:val="both"/>
              <w:rPr>
                <w:rFonts w:eastAsia="Times New Roman"/>
                <w:b/>
                <w:bCs/>
                <w:sz w:val="20"/>
                <w:szCs w:val="20"/>
                <w:lang w:eastAsia="lv-LV"/>
              </w:rPr>
            </w:pPr>
            <w:r w:rsidRPr="00AA1497">
              <w:rPr>
                <w:rFonts w:eastAsia="Times New Roman"/>
                <w:b/>
                <w:bCs/>
                <w:sz w:val="20"/>
                <w:szCs w:val="20"/>
                <w:lang w:eastAsia="lv-LV"/>
              </w:rPr>
              <w:t>Aprites ekonomika, tostarp atkritumu rašanās novēršana un pārstrāde</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2D1A950" w14:textId="77777777" w:rsidR="002B083C" w:rsidRPr="00AA1497" w:rsidRDefault="002B083C" w:rsidP="00076ADD">
            <w:pPr>
              <w:spacing w:line="240" w:lineRule="auto"/>
              <w:jc w:val="center"/>
              <w:rPr>
                <w:rFonts w:eastAsia="Times New Roman"/>
                <w:b/>
                <w:bCs/>
                <w:sz w:val="20"/>
                <w:szCs w:val="20"/>
                <w:lang w:eastAsia="lv-LV"/>
              </w:rPr>
            </w:pPr>
            <w:r w:rsidRPr="00AA1497">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0591C6F" w14:textId="77777777" w:rsidR="002B083C" w:rsidRPr="00AA1497" w:rsidRDefault="002B083C" w:rsidP="00076ADD">
            <w:pPr>
              <w:spacing w:line="240" w:lineRule="auto"/>
              <w:jc w:val="center"/>
              <w:rPr>
                <w:rFonts w:eastAsia="Times New Roman"/>
                <w:b/>
                <w:bCs/>
                <w:sz w:val="20"/>
                <w:szCs w:val="20"/>
                <w:lang w:eastAsia="lv-LV"/>
              </w:rPr>
            </w:pP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35A494E9" w14:textId="77777777" w:rsidR="002B083C" w:rsidRPr="00AA1497" w:rsidRDefault="002B083C" w:rsidP="00076ADD">
            <w:pPr>
              <w:spacing w:line="240" w:lineRule="auto"/>
              <w:jc w:val="both"/>
              <w:rPr>
                <w:rFonts w:eastAsia="Times New Roman"/>
                <w:sz w:val="20"/>
                <w:szCs w:val="20"/>
                <w:lang w:eastAsia="lv-LV"/>
              </w:rPr>
            </w:pPr>
            <w:r w:rsidRPr="00AA1497">
              <w:rPr>
                <w:rFonts w:eastAsia="Times New Roman"/>
                <w:sz w:val="20"/>
                <w:szCs w:val="20"/>
                <w:lang w:eastAsia="lv-LV"/>
              </w:rPr>
              <w:t>Skat. novērtējuma 2.daļu.</w:t>
            </w:r>
          </w:p>
        </w:tc>
      </w:tr>
      <w:tr w:rsidR="002B083C" w:rsidRPr="00AA1497" w14:paraId="4A28E8EE" w14:textId="77777777" w:rsidTr="00076ADD">
        <w:trPr>
          <w:trHeight w:val="380"/>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C5BC240" w14:textId="77777777" w:rsidR="002B083C" w:rsidRPr="00AA1497" w:rsidRDefault="002B083C" w:rsidP="00076ADD">
            <w:pPr>
              <w:spacing w:line="240" w:lineRule="auto"/>
              <w:jc w:val="both"/>
              <w:rPr>
                <w:rFonts w:eastAsia="Times New Roman"/>
                <w:b/>
                <w:bCs/>
                <w:sz w:val="20"/>
                <w:szCs w:val="20"/>
                <w:lang w:eastAsia="lv-LV"/>
              </w:rPr>
            </w:pPr>
            <w:r w:rsidRPr="00AA1497">
              <w:rPr>
                <w:rFonts w:eastAsia="Times New Roman"/>
                <w:b/>
                <w:bCs/>
                <w:sz w:val="20"/>
                <w:szCs w:val="20"/>
                <w:lang w:eastAsia="lv-LV"/>
              </w:rPr>
              <w:t>Piesārņojuma novēršana un to kontrole gaisā, ūdenī vai zemē</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737CCBF" w14:textId="77777777" w:rsidR="002B083C" w:rsidRPr="00AA1497" w:rsidRDefault="002B083C" w:rsidP="00076ADD">
            <w:pPr>
              <w:spacing w:line="240" w:lineRule="auto"/>
              <w:jc w:val="center"/>
              <w:rPr>
                <w:rFonts w:eastAsia="Times New Roman"/>
                <w:b/>
                <w:bCs/>
                <w:sz w:val="20"/>
                <w:szCs w:val="20"/>
                <w:lang w:eastAsia="lv-LV"/>
              </w:rPr>
            </w:pPr>
            <w:r w:rsidRPr="00AA1497">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2B67769" w14:textId="77777777" w:rsidR="002B083C" w:rsidRPr="00AA1497" w:rsidRDefault="002B083C" w:rsidP="00076ADD">
            <w:pPr>
              <w:spacing w:line="240" w:lineRule="auto"/>
              <w:jc w:val="center"/>
              <w:rPr>
                <w:rFonts w:eastAsia="Times New Roman"/>
                <w:b/>
                <w:bCs/>
                <w:sz w:val="20"/>
                <w:szCs w:val="20"/>
                <w:lang w:eastAsia="lv-LV"/>
              </w:rPr>
            </w:pP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2D0F9737" w14:textId="77777777" w:rsidR="002B083C" w:rsidRPr="00AA1497" w:rsidRDefault="002B083C" w:rsidP="00076ADD">
            <w:pPr>
              <w:spacing w:line="240" w:lineRule="auto"/>
              <w:jc w:val="both"/>
              <w:rPr>
                <w:rFonts w:eastAsia="Times New Roman"/>
                <w:sz w:val="20"/>
                <w:szCs w:val="20"/>
                <w:lang w:eastAsia="lv-LV"/>
              </w:rPr>
            </w:pPr>
            <w:r w:rsidRPr="00AA1497">
              <w:rPr>
                <w:rFonts w:eastAsia="Times New Roman"/>
                <w:sz w:val="20"/>
                <w:szCs w:val="20"/>
                <w:lang w:eastAsia="lv-LV"/>
              </w:rPr>
              <w:t>Skat. novērtējuma 2.daļu.</w:t>
            </w:r>
          </w:p>
        </w:tc>
      </w:tr>
      <w:tr w:rsidR="002B083C" w:rsidRPr="00AA1497" w14:paraId="127AC00E" w14:textId="77777777" w:rsidTr="00076ADD">
        <w:trPr>
          <w:trHeight w:val="386"/>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E7CDC0A" w14:textId="77777777" w:rsidR="002B083C" w:rsidRPr="00AA1497" w:rsidRDefault="002B083C" w:rsidP="00076ADD">
            <w:pPr>
              <w:spacing w:line="240" w:lineRule="auto"/>
              <w:jc w:val="both"/>
              <w:rPr>
                <w:rFonts w:eastAsia="Times New Roman"/>
                <w:b/>
                <w:bCs/>
                <w:sz w:val="20"/>
                <w:szCs w:val="20"/>
                <w:lang w:eastAsia="lv-LV"/>
              </w:rPr>
            </w:pPr>
            <w:r w:rsidRPr="00AA1497">
              <w:rPr>
                <w:rFonts w:eastAsia="Times New Roman"/>
                <w:b/>
                <w:bCs/>
                <w:sz w:val="20"/>
                <w:szCs w:val="20"/>
                <w:lang w:eastAsia="lv-LV"/>
              </w:rPr>
              <w:t>Bioloģiskās daudzveidības un ekosistēmu aizsardzība un atjaunošana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37121C7D" w14:textId="77777777" w:rsidR="002B083C" w:rsidRPr="00AA1497" w:rsidRDefault="002B083C" w:rsidP="00076ADD">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CDBAB5F" w14:textId="77777777" w:rsidR="002B083C" w:rsidRPr="00AA1497" w:rsidRDefault="002B083C" w:rsidP="00076ADD">
            <w:pPr>
              <w:spacing w:line="240" w:lineRule="auto"/>
              <w:jc w:val="center"/>
              <w:rPr>
                <w:rFonts w:eastAsia="Times New Roman"/>
                <w:b/>
                <w:bCs/>
                <w:sz w:val="20"/>
                <w:szCs w:val="20"/>
                <w:lang w:eastAsia="lv-LV"/>
              </w:rPr>
            </w:pPr>
            <w:r w:rsidRPr="00AA1497">
              <w:rPr>
                <w:rFonts w:eastAsia="Times New Roman"/>
                <w:b/>
                <w:bCs/>
                <w:sz w:val="20"/>
                <w:szCs w:val="20"/>
                <w:lang w:eastAsia="lv-LV"/>
              </w:rPr>
              <w:t>X</w:t>
            </w: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bottom"/>
          </w:tcPr>
          <w:p w14:paraId="224A2BB0" w14:textId="77777777" w:rsidR="002B083C" w:rsidRPr="00AA1497" w:rsidRDefault="002B083C" w:rsidP="00076ADD">
            <w:pPr>
              <w:spacing w:line="240" w:lineRule="auto"/>
              <w:jc w:val="both"/>
              <w:rPr>
                <w:rFonts w:eastAsia="Times New Roman"/>
                <w:sz w:val="20"/>
                <w:szCs w:val="20"/>
                <w:lang w:eastAsia="lv-LV"/>
              </w:rPr>
            </w:pPr>
            <w:r w:rsidRPr="00AA1497">
              <w:rPr>
                <w:rFonts w:eastAsia="Times New Roman"/>
                <w:sz w:val="20"/>
                <w:szCs w:val="20"/>
                <w:lang w:eastAsia="lv-LV"/>
              </w:rPr>
              <w:t>Skat. novērtējuma 2.daļu..</w:t>
            </w:r>
          </w:p>
        </w:tc>
      </w:tr>
    </w:tbl>
    <w:p w14:paraId="3C80063C" w14:textId="77777777" w:rsidR="003D63FD" w:rsidRPr="00AA1497" w:rsidRDefault="003D63FD">
      <w:r w:rsidRPr="00AA1497">
        <w:br w:type="page"/>
      </w:r>
    </w:p>
    <w:tbl>
      <w:tblPr>
        <w:tblW w:w="13892" w:type="dxa"/>
        <w:tblInd w:w="-5" w:type="dxa"/>
        <w:tblLayout w:type="fixed"/>
        <w:tblCellMar>
          <w:left w:w="10" w:type="dxa"/>
          <w:right w:w="10" w:type="dxa"/>
        </w:tblCellMar>
        <w:tblLook w:val="0000" w:firstRow="0" w:lastRow="0" w:firstColumn="0" w:lastColumn="0" w:noHBand="0" w:noVBand="0"/>
      </w:tblPr>
      <w:tblGrid>
        <w:gridCol w:w="3828"/>
        <w:gridCol w:w="567"/>
        <w:gridCol w:w="567"/>
        <w:gridCol w:w="8930"/>
      </w:tblGrid>
      <w:tr w:rsidR="002B083C" w:rsidRPr="00AA1497" w14:paraId="5809A901" w14:textId="77777777" w:rsidTr="00076ADD">
        <w:trPr>
          <w:trHeight w:val="300"/>
        </w:trPr>
        <w:tc>
          <w:tcPr>
            <w:tcW w:w="3828" w:type="dxa"/>
            <w:shd w:val="clear" w:color="auto" w:fill="auto"/>
            <w:noWrap/>
            <w:tcMar>
              <w:top w:w="15" w:type="dxa"/>
              <w:left w:w="108" w:type="dxa"/>
              <w:bottom w:w="15" w:type="dxa"/>
              <w:right w:w="108" w:type="dxa"/>
            </w:tcMar>
            <w:vAlign w:val="bottom"/>
          </w:tcPr>
          <w:p w14:paraId="0A2686A5" w14:textId="319BAE72" w:rsidR="002B083C" w:rsidRPr="00AA1497" w:rsidRDefault="002B083C" w:rsidP="00076ADD">
            <w:pPr>
              <w:spacing w:line="240" w:lineRule="auto"/>
              <w:rPr>
                <w:rFonts w:eastAsia="Times New Roman"/>
                <w:b/>
                <w:bCs/>
                <w:sz w:val="20"/>
                <w:szCs w:val="20"/>
                <w:lang w:eastAsia="lv-LV"/>
              </w:rPr>
            </w:pPr>
          </w:p>
          <w:p w14:paraId="03082C35" w14:textId="77777777" w:rsidR="002B083C" w:rsidRPr="00AA1497" w:rsidRDefault="002B083C" w:rsidP="00076ADD">
            <w:pPr>
              <w:spacing w:line="240" w:lineRule="auto"/>
              <w:rPr>
                <w:rFonts w:eastAsia="Times New Roman"/>
                <w:b/>
                <w:bCs/>
                <w:sz w:val="20"/>
                <w:szCs w:val="20"/>
                <w:lang w:eastAsia="lv-LV"/>
              </w:rPr>
            </w:pPr>
            <w:r w:rsidRPr="00AA1497">
              <w:rPr>
                <w:rFonts w:eastAsia="Times New Roman"/>
                <w:b/>
                <w:bCs/>
                <w:sz w:val="20"/>
                <w:szCs w:val="20"/>
                <w:lang w:eastAsia="lv-LV"/>
              </w:rPr>
              <w:t>Novērtējuma 2. daļa</w:t>
            </w:r>
          </w:p>
        </w:tc>
        <w:tc>
          <w:tcPr>
            <w:tcW w:w="567" w:type="dxa"/>
            <w:shd w:val="clear" w:color="auto" w:fill="auto"/>
            <w:noWrap/>
            <w:tcMar>
              <w:top w:w="15" w:type="dxa"/>
              <w:left w:w="108" w:type="dxa"/>
              <w:bottom w:w="15" w:type="dxa"/>
              <w:right w:w="108" w:type="dxa"/>
            </w:tcMar>
            <w:vAlign w:val="bottom"/>
          </w:tcPr>
          <w:p w14:paraId="6B948C92" w14:textId="77777777" w:rsidR="002B083C" w:rsidRPr="00AA1497" w:rsidRDefault="002B083C" w:rsidP="00076ADD">
            <w:pPr>
              <w:spacing w:line="240" w:lineRule="auto"/>
              <w:rPr>
                <w:rFonts w:eastAsia="Times New Roman"/>
                <w:b/>
                <w:bCs/>
                <w:sz w:val="20"/>
                <w:szCs w:val="20"/>
                <w:lang w:eastAsia="lv-LV"/>
              </w:rPr>
            </w:pPr>
          </w:p>
        </w:tc>
        <w:tc>
          <w:tcPr>
            <w:tcW w:w="567" w:type="dxa"/>
            <w:shd w:val="clear" w:color="auto" w:fill="auto"/>
            <w:noWrap/>
            <w:tcMar>
              <w:top w:w="15" w:type="dxa"/>
              <w:left w:w="108" w:type="dxa"/>
              <w:bottom w:w="15" w:type="dxa"/>
              <w:right w:w="108" w:type="dxa"/>
            </w:tcMar>
            <w:vAlign w:val="bottom"/>
          </w:tcPr>
          <w:p w14:paraId="3CE1BA66" w14:textId="77777777" w:rsidR="002B083C" w:rsidRPr="00AA1497" w:rsidRDefault="002B083C" w:rsidP="00076ADD">
            <w:pPr>
              <w:spacing w:line="240" w:lineRule="auto"/>
              <w:rPr>
                <w:rFonts w:eastAsia="Times New Roman"/>
                <w:sz w:val="20"/>
                <w:szCs w:val="20"/>
                <w:lang w:eastAsia="lv-LV"/>
              </w:rPr>
            </w:pPr>
          </w:p>
        </w:tc>
        <w:tc>
          <w:tcPr>
            <w:tcW w:w="8930" w:type="dxa"/>
            <w:shd w:val="clear" w:color="auto" w:fill="auto"/>
            <w:noWrap/>
            <w:tcMar>
              <w:top w:w="15" w:type="dxa"/>
              <w:left w:w="108" w:type="dxa"/>
              <w:bottom w:w="15" w:type="dxa"/>
              <w:right w:w="108" w:type="dxa"/>
            </w:tcMar>
            <w:vAlign w:val="bottom"/>
          </w:tcPr>
          <w:p w14:paraId="3AB8A11D" w14:textId="77777777" w:rsidR="002B083C" w:rsidRPr="00AA1497" w:rsidRDefault="002B083C" w:rsidP="00076ADD">
            <w:pPr>
              <w:spacing w:line="240" w:lineRule="auto"/>
              <w:rPr>
                <w:rFonts w:eastAsia="Times New Roman"/>
                <w:sz w:val="20"/>
                <w:szCs w:val="20"/>
                <w:lang w:eastAsia="lv-LV"/>
              </w:rPr>
            </w:pPr>
          </w:p>
        </w:tc>
      </w:tr>
      <w:tr w:rsidR="002B083C" w:rsidRPr="00AA1497" w14:paraId="4E6499B5" w14:textId="77777777" w:rsidTr="00076ADD">
        <w:trPr>
          <w:trHeight w:val="300"/>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05A5728B" w14:textId="77777777" w:rsidR="002B083C" w:rsidRPr="00AA1497" w:rsidRDefault="002B083C" w:rsidP="00076ADD">
            <w:pPr>
              <w:spacing w:line="240" w:lineRule="auto"/>
              <w:jc w:val="center"/>
              <w:rPr>
                <w:rFonts w:eastAsia="Times New Roman"/>
                <w:b/>
                <w:bCs/>
                <w:sz w:val="20"/>
                <w:szCs w:val="20"/>
                <w:lang w:eastAsia="lv-LV"/>
              </w:rPr>
            </w:pPr>
            <w:r w:rsidRPr="00AA1497">
              <w:rPr>
                <w:rFonts w:eastAsia="Times New Roman"/>
                <w:b/>
                <w:bCs/>
                <w:sz w:val="20"/>
                <w:szCs w:val="20"/>
                <w:lang w:eastAsia="lv-LV"/>
              </w:rPr>
              <w:t xml:space="preserve">Jautājums </w:t>
            </w:r>
          </w:p>
        </w:tc>
        <w:tc>
          <w:tcPr>
            <w:tcW w:w="567" w:type="dxa"/>
            <w:tcBorders>
              <w:top w:val="single" w:sz="4" w:space="0" w:color="000000" w:themeColor="text1"/>
              <w:left w:val="single" w:sz="4" w:space="0" w:color="000000" w:themeColor="text1"/>
              <w:bottom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3727F68B" w14:textId="77777777" w:rsidR="002B083C" w:rsidRPr="00AA1497" w:rsidRDefault="002B083C" w:rsidP="00076ADD">
            <w:pPr>
              <w:spacing w:line="240" w:lineRule="auto"/>
              <w:jc w:val="center"/>
              <w:rPr>
                <w:rFonts w:eastAsia="Times New Roman"/>
                <w:b/>
                <w:bCs/>
                <w:sz w:val="20"/>
                <w:szCs w:val="20"/>
                <w:lang w:eastAsia="lv-LV"/>
              </w:rPr>
            </w:pPr>
            <w:r w:rsidRPr="00AA1497">
              <w:rPr>
                <w:rFonts w:eastAsia="Times New Roman"/>
                <w:b/>
                <w:bCs/>
                <w:sz w:val="20"/>
                <w:szCs w:val="20"/>
                <w:lang w:eastAsia="lv-LV"/>
              </w:rPr>
              <w:t>NĒ</w:t>
            </w:r>
          </w:p>
        </w:tc>
        <w:tc>
          <w:tcPr>
            <w:tcW w:w="94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132A073E" w14:textId="77777777" w:rsidR="002B083C" w:rsidRPr="00AA1497" w:rsidRDefault="002B083C" w:rsidP="00076ADD">
            <w:pPr>
              <w:spacing w:line="240" w:lineRule="auto"/>
              <w:jc w:val="center"/>
              <w:rPr>
                <w:rFonts w:eastAsia="Times New Roman"/>
                <w:b/>
                <w:bCs/>
                <w:sz w:val="20"/>
                <w:szCs w:val="20"/>
                <w:lang w:eastAsia="lv-LV"/>
              </w:rPr>
            </w:pPr>
            <w:r w:rsidRPr="00AA1497">
              <w:rPr>
                <w:rFonts w:eastAsia="Times New Roman"/>
                <w:b/>
                <w:bCs/>
                <w:sz w:val="20"/>
                <w:szCs w:val="20"/>
                <w:lang w:eastAsia="lv-LV"/>
              </w:rPr>
              <w:t xml:space="preserve">Detalizēts izvērtējums </w:t>
            </w:r>
          </w:p>
        </w:tc>
      </w:tr>
      <w:tr w:rsidR="002B083C" w:rsidRPr="00AA1497" w14:paraId="741F1223" w14:textId="77777777" w:rsidTr="00076ADD">
        <w:trPr>
          <w:trHeight w:val="1092"/>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046999D6" w14:textId="77777777" w:rsidR="002B083C" w:rsidRPr="00AA1497" w:rsidRDefault="002B083C" w:rsidP="00076ADD">
            <w:pPr>
              <w:spacing w:line="240" w:lineRule="auto"/>
              <w:rPr>
                <w:sz w:val="20"/>
                <w:szCs w:val="20"/>
              </w:rPr>
            </w:pPr>
            <w:r w:rsidRPr="00AA1497">
              <w:rPr>
                <w:rFonts w:eastAsia="Times New Roman"/>
                <w:b/>
                <w:bCs/>
                <w:sz w:val="20"/>
                <w:szCs w:val="20"/>
                <w:lang w:eastAsia="lv-LV"/>
              </w:rPr>
              <w:t xml:space="preserve">Klimata pārmaiņu mazināšana. </w:t>
            </w:r>
            <w:r w:rsidRPr="00AA1497">
              <w:rPr>
                <w:rFonts w:eastAsia="Times New Roman"/>
                <w:sz w:val="20"/>
                <w:szCs w:val="20"/>
                <w:lang w:eastAsia="lv-LV"/>
              </w:rPr>
              <w:t>Vai paredzams, ka pasākums radīs ievērojamas SEG emisijas?</w:t>
            </w:r>
          </w:p>
        </w:tc>
        <w:tc>
          <w:tcPr>
            <w:tcW w:w="567" w:type="dxa"/>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623F5B7D" w14:textId="77777777" w:rsidR="002B083C" w:rsidRPr="00AA1497" w:rsidRDefault="002B083C" w:rsidP="00076ADD">
            <w:pPr>
              <w:spacing w:line="240" w:lineRule="auto"/>
              <w:jc w:val="center"/>
              <w:rPr>
                <w:rFonts w:eastAsia="Times New Roman"/>
                <w:b/>
                <w:bCs/>
                <w:sz w:val="20"/>
                <w:szCs w:val="20"/>
                <w:lang w:eastAsia="lv-LV"/>
              </w:rPr>
            </w:pPr>
          </w:p>
        </w:tc>
        <w:tc>
          <w:tcPr>
            <w:tcW w:w="94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33A5C5D1" w14:textId="77777777" w:rsidR="002B083C" w:rsidRPr="00AA1497" w:rsidRDefault="002B083C" w:rsidP="00076ADD">
            <w:pPr>
              <w:spacing w:line="240" w:lineRule="auto"/>
              <w:jc w:val="both"/>
              <w:rPr>
                <w:rFonts w:eastAsia="Times New Roman"/>
                <w:sz w:val="20"/>
                <w:szCs w:val="20"/>
                <w:lang w:eastAsia="lv-LV"/>
              </w:rPr>
            </w:pPr>
            <w:r w:rsidRPr="00AA1497">
              <w:rPr>
                <w:rFonts w:eastAsia="Times New Roman"/>
                <w:sz w:val="20"/>
                <w:szCs w:val="20"/>
                <w:lang w:eastAsia="lv-LV"/>
              </w:rPr>
              <w:t>Skat. novērtējuma 1.daļu.</w:t>
            </w:r>
          </w:p>
          <w:p w14:paraId="79A2C2FB" w14:textId="77777777" w:rsidR="002B083C" w:rsidRPr="00AA1497" w:rsidRDefault="002B083C" w:rsidP="00076ADD">
            <w:pPr>
              <w:spacing w:line="240" w:lineRule="auto"/>
              <w:rPr>
                <w:sz w:val="20"/>
                <w:szCs w:val="20"/>
                <w:lang w:eastAsia="lv-LV"/>
              </w:rPr>
            </w:pPr>
          </w:p>
        </w:tc>
      </w:tr>
      <w:tr w:rsidR="002B083C" w:rsidRPr="00AA1497" w14:paraId="79922BC6" w14:textId="77777777" w:rsidTr="00076ADD">
        <w:trPr>
          <w:trHeight w:val="971"/>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6707CBC3" w14:textId="77777777" w:rsidR="002B083C" w:rsidRPr="00AA1497" w:rsidRDefault="002B083C" w:rsidP="00076ADD">
            <w:pPr>
              <w:spacing w:line="240" w:lineRule="auto"/>
              <w:rPr>
                <w:sz w:val="20"/>
                <w:szCs w:val="20"/>
              </w:rPr>
            </w:pPr>
            <w:r w:rsidRPr="00AA1497">
              <w:rPr>
                <w:rFonts w:eastAsia="Times New Roman"/>
                <w:b/>
                <w:bCs/>
                <w:sz w:val="20"/>
                <w:szCs w:val="20"/>
                <w:lang w:eastAsia="lv-LV"/>
              </w:rPr>
              <w:t xml:space="preserve">Pielāgošanās klimata pārmaiņām. </w:t>
            </w:r>
            <w:r w:rsidRPr="00AA1497">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567" w:type="dxa"/>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3120EC34" w14:textId="77777777" w:rsidR="002B083C" w:rsidRPr="00AA1497" w:rsidRDefault="002B083C" w:rsidP="00076ADD">
            <w:pPr>
              <w:spacing w:line="240" w:lineRule="auto"/>
              <w:jc w:val="center"/>
              <w:rPr>
                <w:rFonts w:eastAsia="Times New Roman"/>
                <w:b/>
                <w:bCs/>
                <w:sz w:val="20"/>
                <w:szCs w:val="20"/>
                <w:lang w:eastAsia="lv-LV"/>
              </w:rPr>
            </w:pPr>
          </w:p>
        </w:tc>
        <w:tc>
          <w:tcPr>
            <w:tcW w:w="94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5712641A" w14:textId="77777777" w:rsidR="002B083C" w:rsidRPr="00AA1497" w:rsidRDefault="002B083C" w:rsidP="00076ADD">
            <w:pPr>
              <w:spacing w:line="240" w:lineRule="auto"/>
              <w:rPr>
                <w:rFonts w:eastAsia="Times New Roman"/>
                <w:sz w:val="20"/>
                <w:szCs w:val="20"/>
                <w:lang w:eastAsia="lv-LV"/>
              </w:rPr>
            </w:pPr>
            <w:r w:rsidRPr="00AA1497">
              <w:rPr>
                <w:rFonts w:eastAsia="Times New Roman"/>
                <w:sz w:val="20"/>
                <w:szCs w:val="20"/>
                <w:lang w:eastAsia="lv-LV"/>
              </w:rPr>
              <w:t xml:space="preserve">Skat. novērtējuma 1.daļu. </w:t>
            </w:r>
          </w:p>
          <w:p w14:paraId="779711C8" w14:textId="77777777" w:rsidR="002B083C" w:rsidRPr="00AA1497" w:rsidRDefault="002B083C" w:rsidP="00076ADD">
            <w:pPr>
              <w:spacing w:line="240" w:lineRule="auto"/>
              <w:rPr>
                <w:rFonts w:eastAsia="Times New Roman"/>
                <w:sz w:val="20"/>
                <w:szCs w:val="20"/>
                <w:lang w:eastAsia="lv-LV"/>
              </w:rPr>
            </w:pPr>
          </w:p>
        </w:tc>
      </w:tr>
      <w:tr w:rsidR="002B083C" w:rsidRPr="00AA1497" w14:paraId="05A603D6" w14:textId="77777777" w:rsidTr="00076ADD">
        <w:trPr>
          <w:trHeight w:val="2139"/>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77A65086" w14:textId="77777777" w:rsidR="002B083C" w:rsidRPr="00AA1497" w:rsidRDefault="002B083C" w:rsidP="00076ADD">
            <w:pPr>
              <w:spacing w:line="240" w:lineRule="auto"/>
              <w:rPr>
                <w:sz w:val="20"/>
                <w:szCs w:val="20"/>
              </w:rPr>
            </w:pPr>
            <w:r w:rsidRPr="00AA1497">
              <w:rPr>
                <w:rFonts w:eastAsia="Times New Roman"/>
                <w:b/>
                <w:bCs/>
                <w:sz w:val="20"/>
                <w:szCs w:val="20"/>
                <w:lang w:eastAsia="lv-LV"/>
              </w:rPr>
              <w:t xml:space="preserve">Ilgtspējīga ūdens un jūras resursu izmantošana un aizsardzība. </w:t>
            </w:r>
            <w:r w:rsidRPr="00AA1497">
              <w:rPr>
                <w:rFonts w:eastAsia="Times New Roman"/>
                <w:sz w:val="20"/>
                <w:szCs w:val="20"/>
                <w:lang w:eastAsia="lv-LV"/>
              </w:rPr>
              <w:t>Vai paredzams, ka pasākums kaitēs: (i) ūdensobjektu labam stāvoklim vai to labam ekoloģiskajam potenciālam, ieskaitot virszemes ūdeņus un gruntsūdeņus; vai (ii) jūras ūdeņu labam vides stāvoklim?</w:t>
            </w:r>
          </w:p>
        </w:tc>
        <w:tc>
          <w:tcPr>
            <w:tcW w:w="567" w:type="dxa"/>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426C1FC9" w14:textId="77777777" w:rsidR="002B083C" w:rsidRPr="00AA1497" w:rsidRDefault="002B083C" w:rsidP="00076ADD">
            <w:pPr>
              <w:spacing w:line="240" w:lineRule="auto"/>
              <w:jc w:val="center"/>
              <w:rPr>
                <w:rFonts w:eastAsia="Times New Roman"/>
                <w:b/>
                <w:bCs/>
                <w:sz w:val="20"/>
                <w:szCs w:val="20"/>
                <w:lang w:eastAsia="lv-LV"/>
              </w:rPr>
            </w:pPr>
          </w:p>
        </w:tc>
        <w:tc>
          <w:tcPr>
            <w:tcW w:w="94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490C4CA4" w14:textId="77777777" w:rsidR="002B083C" w:rsidRPr="00AA1497" w:rsidRDefault="002B083C" w:rsidP="00076ADD">
            <w:pPr>
              <w:spacing w:line="240" w:lineRule="auto"/>
              <w:jc w:val="both"/>
              <w:rPr>
                <w:rFonts w:eastAsia="Times New Roman"/>
                <w:sz w:val="20"/>
                <w:szCs w:val="20"/>
                <w:lang w:eastAsia="lv-LV"/>
              </w:rPr>
            </w:pPr>
            <w:r w:rsidRPr="00AA1497">
              <w:rPr>
                <w:rFonts w:eastAsia="Times New Roman"/>
                <w:sz w:val="20"/>
                <w:szCs w:val="20"/>
                <w:lang w:eastAsia="lv-LV"/>
              </w:rPr>
              <w:t>Skat. novērtējuma 1.daļu.</w:t>
            </w:r>
          </w:p>
          <w:p w14:paraId="77E51B9F" w14:textId="77777777" w:rsidR="002B083C" w:rsidRPr="00AA1497" w:rsidRDefault="002B083C" w:rsidP="00076ADD">
            <w:pPr>
              <w:spacing w:line="240" w:lineRule="auto"/>
              <w:rPr>
                <w:sz w:val="20"/>
                <w:szCs w:val="20"/>
                <w:lang w:eastAsia="lv-LV"/>
              </w:rPr>
            </w:pPr>
          </w:p>
          <w:p w14:paraId="2B61A01E" w14:textId="77777777" w:rsidR="002B083C" w:rsidRPr="00AA1497" w:rsidRDefault="002B083C" w:rsidP="00076ADD">
            <w:pPr>
              <w:spacing w:line="240" w:lineRule="auto"/>
              <w:rPr>
                <w:sz w:val="20"/>
                <w:szCs w:val="20"/>
                <w:lang w:eastAsia="lv-LV"/>
              </w:rPr>
            </w:pPr>
          </w:p>
          <w:p w14:paraId="5B487464" w14:textId="77777777" w:rsidR="002B083C" w:rsidRPr="00AA1497" w:rsidRDefault="002B083C" w:rsidP="00076ADD">
            <w:pPr>
              <w:pStyle w:val="ListParagraph"/>
              <w:spacing w:line="240" w:lineRule="auto"/>
              <w:rPr>
                <w:rFonts w:cs="Times New Roman"/>
                <w:sz w:val="20"/>
                <w:szCs w:val="20"/>
                <w:lang w:eastAsia="lv-LV"/>
              </w:rPr>
            </w:pPr>
          </w:p>
        </w:tc>
      </w:tr>
      <w:tr w:rsidR="002B083C" w:rsidRPr="00AA1497" w14:paraId="7B49ED20" w14:textId="77777777" w:rsidTr="00076ADD">
        <w:trPr>
          <w:trHeight w:val="3532"/>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4CEDE49C" w14:textId="77777777" w:rsidR="002B083C" w:rsidRPr="00AA1497" w:rsidRDefault="002B083C" w:rsidP="00076ADD">
            <w:pPr>
              <w:spacing w:line="240" w:lineRule="auto"/>
              <w:rPr>
                <w:sz w:val="20"/>
                <w:szCs w:val="20"/>
              </w:rPr>
            </w:pPr>
            <w:r w:rsidRPr="00AA1497">
              <w:rPr>
                <w:rFonts w:eastAsia="Times New Roman"/>
                <w:b/>
                <w:bCs/>
                <w:sz w:val="20"/>
                <w:szCs w:val="20"/>
                <w:lang w:eastAsia="lv-LV"/>
              </w:rPr>
              <w:lastRenderedPageBreak/>
              <w:t>Pāreja uz aprites ekonomiku, ieskaitot atkritumu rašanās novēršanu un to reciklēšanu</w:t>
            </w:r>
            <w:r w:rsidRPr="00AA1497">
              <w:rPr>
                <w:rFonts w:eastAsia="Times New Roman"/>
                <w:sz w:val="20"/>
                <w:szCs w:val="20"/>
                <w:lang w:eastAsia="lv-LV"/>
              </w:rPr>
              <w:t>. Vai paredzams, ka pasākums: (i) būtiski palielinās atkritumu rašanos, incinerāciju vai apglabāšanu, izņemot nepārstrādājamu bīstamo atkritumu incinerāciju; vai</w:t>
            </w:r>
            <w:r w:rsidRPr="00AA1497">
              <w:rPr>
                <w:rFonts w:eastAsia="Times New Roman"/>
                <w:sz w:val="20"/>
                <w:szCs w:val="20"/>
                <w:lang w:eastAsia="lv-LV"/>
              </w:rPr>
              <w:br/>
              <w:t>(ii) dabas resursu tiešā vai netiešā izmantošanā jebkurā to aprites cikla posmā radīs būtisku neefektivitāti, kas netiek samazināta līdz minimumam ar atbilstošiem pasākumiem; vai</w:t>
            </w:r>
            <w:r w:rsidRPr="00AA1497">
              <w:rPr>
                <w:rFonts w:eastAsia="Times New Roman"/>
                <w:sz w:val="20"/>
                <w:szCs w:val="20"/>
                <w:lang w:eastAsia="lv-LV"/>
              </w:rPr>
              <w:br/>
              <w:t>(iii) radīs būtisku un ilgtermiņa kaitējumu videi attiecībā uz aprites ekonomiku?</w:t>
            </w:r>
          </w:p>
        </w:tc>
        <w:tc>
          <w:tcPr>
            <w:tcW w:w="567" w:type="dxa"/>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5D681388" w14:textId="77777777" w:rsidR="002B083C" w:rsidRPr="00AA1497" w:rsidRDefault="002B083C" w:rsidP="00076ADD">
            <w:pPr>
              <w:spacing w:line="240" w:lineRule="auto"/>
              <w:jc w:val="center"/>
              <w:rPr>
                <w:rFonts w:eastAsia="Times New Roman"/>
                <w:b/>
                <w:bCs/>
                <w:sz w:val="20"/>
                <w:szCs w:val="20"/>
                <w:lang w:eastAsia="lv-LV"/>
              </w:rPr>
            </w:pPr>
            <w:r w:rsidRPr="00AA1497">
              <w:rPr>
                <w:rFonts w:eastAsia="Times New Roman"/>
                <w:b/>
                <w:bCs/>
                <w:sz w:val="20"/>
                <w:szCs w:val="20"/>
                <w:lang w:eastAsia="lv-LV"/>
              </w:rPr>
              <w:t>X</w:t>
            </w:r>
          </w:p>
        </w:tc>
        <w:tc>
          <w:tcPr>
            <w:tcW w:w="94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7CC22098" w14:textId="77777777" w:rsidR="002B083C" w:rsidRPr="00AA1497" w:rsidRDefault="002B083C" w:rsidP="00076ADD">
            <w:pPr>
              <w:spacing w:line="240" w:lineRule="auto"/>
              <w:rPr>
                <w:rFonts w:eastAsia="Times New Roman"/>
                <w:sz w:val="20"/>
                <w:szCs w:val="20"/>
                <w:lang w:eastAsia="lv-LV"/>
              </w:rPr>
            </w:pPr>
            <w:r w:rsidRPr="00AA1497">
              <w:rPr>
                <w:rFonts w:eastAsia="Times New Roman"/>
                <w:sz w:val="20"/>
                <w:szCs w:val="20"/>
                <w:lang w:eastAsia="lv-LV"/>
              </w:rPr>
              <w:t>Plānotās investīcijas paredz nenozīmīgu ietekmi uz šo vides aspektu:</w:t>
            </w:r>
          </w:p>
          <w:p w14:paraId="3E695F67" w14:textId="264B7F61" w:rsidR="002B083C" w:rsidRPr="00AA1497" w:rsidRDefault="002B083C" w:rsidP="002B083C">
            <w:pPr>
              <w:pStyle w:val="ListParagraph"/>
              <w:numPr>
                <w:ilvl w:val="0"/>
                <w:numId w:val="1"/>
              </w:numPr>
              <w:suppressAutoHyphens/>
              <w:autoSpaceDN w:val="0"/>
              <w:spacing w:line="240" w:lineRule="auto"/>
              <w:contextualSpacing w:val="0"/>
              <w:textAlignment w:val="baseline"/>
              <w:rPr>
                <w:rFonts w:eastAsia="Times New Roman" w:cs="Times New Roman"/>
                <w:sz w:val="20"/>
                <w:szCs w:val="20"/>
                <w:lang w:val="lv-LV" w:eastAsia="lv-LV"/>
              </w:rPr>
            </w:pPr>
            <w:r w:rsidRPr="00AA1497">
              <w:rPr>
                <w:rFonts w:eastAsia="Times New Roman" w:cs="Times New Roman"/>
                <w:sz w:val="20"/>
                <w:szCs w:val="20"/>
                <w:lang w:val="lv-LV" w:eastAsia="lv-LV"/>
              </w:rPr>
              <w:t xml:space="preserve">energoefektivitātes projektu </w:t>
            </w:r>
            <w:r w:rsidR="001E5788" w:rsidRPr="00AA1497">
              <w:rPr>
                <w:rFonts w:eastAsia="Times New Roman" w:cs="Times New Roman"/>
                <w:sz w:val="20"/>
                <w:szCs w:val="20"/>
                <w:lang w:val="lv-LV" w:eastAsia="lv-LV"/>
              </w:rPr>
              <w:t xml:space="preserve">specifiskajos atbilstības </w:t>
            </w:r>
            <w:r w:rsidRPr="00AA1497">
              <w:rPr>
                <w:rFonts w:eastAsia="Times New Roman" w:cs="Times New Roman"/>
                <w:sz w:val="20"/>
                <w:szCs w:val="20"/>
                <w:lang w:val="lv-LV" w:eastAsia="lv-LV"/>
              </w:rPr>
              <w:t>kritērijos tiks iekļauta prasība, ka veicot energoefektivitātes darbus ēkā/objektā 70% no radītājiem būvniecības (ne bīstamajiem) atkritumiem  vai demontāžas atkritumiem, atkritumi jānodod šī atkritumu veida pārstrādātājiem, kas veicinās atkritumu atkārtotu izmantošanu tautsaimniecībā, to pārstrādi, to pārstrādes produktu izmantošanu un samazinās atkritumu apglabāšanas apjomus kā to paredz Eiropas Parlamenta un Padomes direktīva (ES) 2018/851, ar ko groza Direktīvu 2008/98 par atkritumiem, Eiropas Parlamenta un Padomes direktīva (ES) 2018/850, ar ko groza Direktīvu 1999/31/EK par atkritumu poligoniem,  un Atkritumu apsaimniekošanas valsts plāns 2021.-2028.gadam, kas apstiprināts Ministru Kabinetā 2021.gada 22.janvārī;</w:t>
            </w:r>
          </w:p>
          <w:p w14:paraId="6B7DD9BE" w14:textId="77777777" w:rsidR="002B083C" w:rsidRPr="00AA1497" w:rsidRDefault="002B083C" w:rsidP="002B083C">
            <w:pPr>
              <w:pStyle w:val="ListParagraph"/>
              <w:numPr>
                <w:ilvl w:val="0"/>
                <w:numId w:val="1"/>
              </w:numPr>
              <w:suppressAutoHyphens/>
              <w:autoSpaceDN w:val="0"/>
              <w:spacing w:line="240" w:lineRule="auto"/>
              <w:contextualSpacing w:val="0"/>
              <w:textAlignment w:val="baseline"/>
              <w:rPr>
                <w:rFonts w:eastAsia="Times New Roman" w:cs="Times New Roman"/>
                <w:sz w:val="20"/>
                <w:szCs w:val="20"/>
                <w:lang w:val="lv-LV" w:eastAsia="lv-LV"/>
              </w:rPr>
            </w:pPr>
            <w:r w:rsidRPr="00AA1497">
              <w:rPr>
                <w:rFonts w:eastAsia="Times New Roman" w:cs="Times New Roman"/>
                <w:sz w:val="20"/>
                <w:szCs w:val="20"/>
                <w:lang w:val="lv-LV" w:eastAsia="lv-LV"/>
              </w:rPr>
              <w:t>valsts līmenī ir palielināta (un turpinās augt) dabas resursu nodokļa likme arī par sadzīves, būvniecības un rūpniecisko atkritumu apglabāšanu, kas dod papildu stimulu aprites ekonomikas prasību ieviešanai;</w:t>
            </w:r>
          </w:p>
          <w:p w14:paraId="56173A5E" w14:textId="243C5B16" w:rsidR="002B083C" w:rsidRPr="00AA1497" w:rsidRDefault="002B083C" w:rsidP="002B083C">
            <w:pPr>
              <w:pStyle w:val="ListParagraph"/>
              <w:numPr>
                <w:ilvl w:val="0"/>
                <w:numId w:val="1"/>
              </w:numPr>
              <w:suppressAutoHyphens/>
              <w:autoSpaceDN w:val="0"/>
              <w:spacing w:line="240" w:lineRule="auto"/>
              <w:contextualSpacing w:val="0"/>
              <w:textAlignment w:val="baseline"/>
              <w:rPr>
                <w:rFonts w:eastAsia="Times New Roman" w:cs="Times New Roman"/>
                <w:sz w:val="20"/>
                <w:szCs w:val="20"/>
                <w:lang w:val="lv-LV" w:eastAsia="lv-LV"/>
              </w:rPr>
            </w:pPr>
            <w:r w:rsidRPr="00AA1497">
              <w:rPr>
                <w:rFonts w:eastAsia="Times New Roman" w:cs="Times New Roman"/>
                <w:sz w:val="20"/>
                <w:szCs w:val="20"/>
                <w:lang w:val="lv-LV" w:eastAsia="lv-LV"/>
              </w:rPr>
              <w:t>papildus projekta iesniedzējiem var paredzēt nosacījumu ievērot zaļā publiskā iepirkuma principu, veicot iepirkuma procedūru būvniecības darbiem</w:t>
            </w:r>
            <w:r w:rsidR="001E5788" w:rsidRPr="00AA1497">
              <w:rPr>
                <w:rFonts w:eastAsia="Times New Roman" w:cs="Times New Roman"/>
                <w:sz w:val="20"/>
                <w:szCs w:val="20"/>
                <w:lang w:val="lv-LV" w:eastAsia="lv-LV"/>
              </w:rPr>
              <w:t>, par to attiecīgi</w:t>
            </w:r>
            <w:r w:rsidR="00AA1497" w:rsidRPr="00AA1497">
              <w:rPr>
                <w:rFonts w:eastAsia="Times New Roman" w:cs="Times New Roman"/>
                <w:sz w:val="20"/>
                <w:szCs w:val="20"/>
                <w:lang w:val="lv-LV" w:eastAsia="lv-LV"/>
              </w:rPr>
              <w:t xml:space="preserve"> tiks piešķirti papildus punkti projekta iesnieguma vērtēšanas kritērijos</w:t>
            </w:r>
            <w:r w:rsidRPr="00AA1497">
              <w:rPr>
                <w:rFonts w:eastAsia="Times New Roman" w:cs="Times New Roman"/>
                <w:sz w:val="20"/>
                <w:szCs w:val="20"/>
                <w:lang w:val="lv-LV" w:eastAsia="lv-LV"/>
              </w:rPr>
              <w:t>;</w:t>
            </w:r>
          </w:p>
          <w:p w14:paraId="54271B2A" w14:textId="77777777" w:rsidR="002B083C" w:rsidRPr="00AA1497" w:rsidRDefault="002B083C" w:rsidP="002B083C">
            <w:pPr>
              <w:pStyle w:val="ListParagraph"/>
              <w:numPr>
                <w:ilvl w:val="0"/>
                <w:numId w:val="1"/>
              </w:numPr>
              <w:suppressAutoHyphens/>
              <w:autoSpaceDN w:val="0"/>
              <w:spacing w:line="240" w:lineRule="auto"/>
              <w:contextualSpacing w:val="0"/>
              <w:textAlignment w:val="baseline"/>
              <w:rPr>
                <w:rFonts w:eastAsia="Times New Roman" w:cs="Times New Roman"/>
                <w:sz w:val="20"/>
                <w:szCs w:val="20"/>
                <w:lang w:val="lv-LV" w:eastAsia="lv-LV"/>
              </w:rPr>
            </w:pPr>
            <w:r w:rsidRPr="00AA1497">
              <w:rPr>
                <w:rFonts w:eastAsia="Times New Roman" w:cs="Times New Roman"/>
                <w:sz w:val="20"/>
                <w:szCs w:val="20"/>
                <w:lang w:val="lv-LV" w:eastAsia="lv-LV"/>
              </w:rPr>
              <w:t>nosakot priekšnosacījumus piemērot zaļo publisko iepirkumu renovācijas materiālu izvēlē, tiks nodrošināta aprites ekonomikas principu veicināšana.</w:t>
            </w:r>
          </w:p>
        </w:tc>
      </w:tr>
      <w:tr w:rsidR="002B083C" w:rsidRPr="00AA1497" w14:paraId="105F8C02" w14:textId="77777777" w:rsidTr="00076ADD">
        <w:trPr>
          <w:trHeight w:val="1668"/>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5E1AE0C8" w14:textId="77777777" w:rsidR="002B083C" w:rsidRPr="00AA1497" w:rsidRDefault="002B083C" w:rsidP="00076ADD">
            <w:pPr>
              <w:spacing w:line="240" w:lineRule="auto"/>
              <w:rPr>
                <w:sz w:val="20"/>
                <w:szCs w:val="20"/>
              </w:rPr>
            </w:pPr>
            <w:r w:rsidRPr="00AA1497">
              <w:rPr>
                <w:rFonts w:eastAsia="Times New Roman"/>
                <w:b/>
                <w:bCs/>
                <w:sz w:val="20"/>
                <w:szCs w:val="20"/>
                <w:lang w:eastAsia="lv-LV"/>
              </w:rPr>
              <w:t xml:space="preserve">Piesārņojuma novēršana un kontrole. </w:t>
            </w:r>
            <w:r w:rsidRPr="00AA1497">
              <w:rPr>
                <w:rFonts w:eastAsia="Times New Roman"/>
                <w:sz w:val="20"/>
                <w:szCs w:val="20"/>
                <w:lang w:eastAsia="lv-LV"/>
              </w:rPr>
              <w:t>Vai paredzams, ka pasākums ievērojami palielinās piesārņotāju emisijas gaisā, ūdenī vai zemē?</w:t>
            </w:r>
          </w:p>
        </w:tc>
        <w:tc>
          <w:tcPr>
            <w:tcW w:w="567" w:type="dxa"/>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482E31BF" w14:textId="77777777" w:rsidR="002B083C" w:rsidRPr="00AA1497" w:rsidRDefault="002B083C" w:rsidP="00076ADD">
            <w:pPr>
              <w:spacing w:line="240" w:lineRule="auto"/>
              <w:jc w:val="center"/>
              <w:rPr>
                <w:rFonts w:eastAsia="Times New Roman"/>
                <w:b/>
                <w:bCs/>
                <w:sz w:val="20"/>
                <w:szCs w:val="20"/>
                <w:lang w:eastAsia="lv-LV"/>
              </w:rPr>
            </w:pPr>
            <w:r w:rsidRPr="00AA1497">
              <w:rPr>
                <w:rFonts w:eastAsia="Times New Roman"/>
                <w:b/>
                <w:bCs/>
                <w:sz w:val="20"/>
                <w:szCs w:val="20"/>
                <w:lang w:eastAsia="lv-LV"/>
              </w:rPr>
              <w:t>X</w:t>
            </w:r>
          </w:p>
        </w:tc>
        <w:tc>
          <w:tcPr>
            <w:tcW w:w="94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2F37451A" w14:textId="77777777" w:rsidR="002B083C" w:rsidRPr="00AA1497" w:rsidRDefault="002B083C" w:rsidP="00076ADD">
            <w:pPr>
              <w:spacing w:line="240" w:lineRule="auto"/>
              <w:ind w:left="33"/>
              <w:rPr>
                <w:rFonts w:eastAsia="Times New Roman"/>
                <w:sz w:val="20"/>
                <w:szCs w:val="20"/>
                <w:lang w:eastAsia="lv-LV"/>
              </w:rPr>
            </w:pPr>
            <w:r w:rsidRPr="00AA1497">
              <w:rPr>
                <w:rFonts w:eastAsia="Times New Roman"/>
                <w:sz w:val="20"/>
                <w:szCs w:val="20"/>
                <w:lang w:eastAsia="lv-LV"/>
              </w:rPr>
              <w:t xml:space="preserve">Nav paredzams, ka pasākums ievērojami palielinās piesārņojošās emisijas gaisā, ūdenī vai zemē: </w:t>
            </w:r>
          </w:p>
          <w:p w14:paraId="7662D2AE" w14:textId="77777777" w:rsidR="002B083C" w:rsidRPr="00AA1497" w:rsidRDefault="002B083C" w:rsidP="002B083C">
            <w:pPr>
              <w:pStyle w:val="ListParagraph"/>
              <w:numPr>
                <w:ilvl w:val="0"/>
                <w:numId w:val="2"/>
              </w:numPr>
              <w:suppressAutoHyphens/>
              <w:autoSpaceDN w:val="0"/>
              <w:spacing w:line="240" w:lineRule="auto"/>
              <w:contextualSpacing w:val="0"/>
              <w:textAlignment w:val="baseline"/>
              <w:rPr>
                <w:rFonts w:eastAsia="Times New Roman" w:cs="Times New Roman"/>
                <w:sz w:val="20"/>
                <w:szCs w:val="20"/>
                <w:lang w:val="lv-LV" w:eastAsia="lv-LV"/>
              </w:rPr>
            </w:pPr>
            <w:r w:rsidRPr="00AA1497">
              <w:rPr>
                <w:rFonts w:eastAsia="Times New Roman" w:cs="Times New Roman"/>
                <w:sz w:val="20"/>
                <w:szCs w:val="20"/>
                <w:lang w:val="lv-LV" w:eastAsia="lv-LV"/>
              </w:rPr>
              <w:t>pasākums atbilst Gaisa piesārņojuma samazināšanas rīcības plānam 2020.–2030. gadam, kur paredzēts veicināt energoefektivitātes pasākumus daudzdzīvokļu mājās, valsts ēkās un rūpniecības uzņēmumos, kā arī nodrošināt tādu sadedzināšanas iekārtu uzstādīšanu valsts ēkās un rūpniecības uzņēmumos, kas rada zemas emisijas (2.1.pasākums);</w:t>
            </w:r>
          </w:p>
          <w:p w14:paraId="48394E0E" w14:textId="77777777" w:rsidR="002B083C" w:rsidRPr="00AA1497" w:rsidRDefault="002B083C" w:rsidP="002B083C">
            <w:pPr>
              <w:pStyle w:val="ListParagraph"/>
              <w:numPr>
                <w:ilvl w:val="0"/>
                <w:numId w:val="2"/>
              </w:numPr>
              <w:suppressAutoHyphens/>
              <w:autoSpaceDN w:val="0"/>
              <w:spacing w:line="240" w:lineRule="auto"/>
              <w:contextualSpacing w:val="0"/>
              <w:textAlignment w:val="baseline"/>
              <w:rPr>
                <w:rFonts w:eastAsia="Times New Roman" w:cs="Times New Roman"/>
                <w:sz w:val="20"/>
                <w:szCs w:val="20"/>
                <w:lang w:val="lv-LV" w:eastAsia="lv-LV"/>
              </w:rPr>
            </w:pPr>
            <w:r w:rsidRPr="00AA1497">
              <w:rPr>
                <w:rFonts w:eastAsia="Times New Roman" w:cs="Times New Roman"/>
                <w:sz w:val="20"/>
                <w:szCs w:val="20"/>
                <w:lang w:val="lv-LV" w:eastAsia="lv-LV"/>
              </w:rPr>
              <w:t>būvniecības procesa laikā tiks veikti pasākumi trokšņa, putekļu un piesārņotāju emisiju samazināšanai;</w:t>
            </w:r>
          </w:p>
          <w:p w14:paraId="597437D7" w14:textId="77777777" w:rsidR="002B083C" w:rsidRPr="00AA1497" w:rsidRDefault="002B083C" w:rsidP="002B083C">
            <w:pPr>
              <w:pStyle w:val="ListParagraph"/>
              <w:numPr>
                <w:ilvl w:val="0"/>
                <w:numId w:val="2"/>
              </w:numPr>
              <w:suppressAutoHyphens/>
              <w:autoSpaceDN w:val="0"/>
              <w:spacing w:line="240" w:lineRule="auto"/>
              <w:contextualSpacing w:val="0"/>
              <w:textAlignment w:val="baseline"/>
              <w:rPr>
                <w:rFonts w:eastAsia="Times New Roman" w:cs="Times New Roman"/>
                <w:sz w:val="20"/>
                <w:szCs w:val="20"/>
                <w:lang w:val="lv-LV" w:eastAsia="lv-LV"/>
              </w:rPr>
            </w:pPr>
            <w:r w:rsidRPr="00AA1497">
              <w:rPr>
                <w:rFonts w:eastAsia="Times New Roman" w:cs="Times New Roman"/>
                <w:sz w:val="20"/>
                <w:szCs w:val="20"/>
                <w:lang w:val="lv-LV" w:eastAsia="lv-LV"/>
              </w:rPr>
              <w:t xml:space="preserve">Latvijā ir pastiprinātas prasības ēku energoefektivitātes minimālajam pieļaujamajam līmenim, energoefektivitātes novērtējumam apkurei atjaunošanām un pārbūvēm no 2021. gada, jo: </w:t>
            </w:r>
          </w:p>
          <w:p w14:paraId="5A8F1B41" w14:textId="77777777" w:rsidR="002B083C" w:rsidRPr="00AA1497" w:rsidRDefault="002B083C" w:rsidP="00076ADD">
            <w:pPr>
              <w:pStyle w:val="ListParagraph"/>
              <w:spacing w:line="240" w:lineRule="auto"/>
              <w:ind w:left="753"/>
              <w:rPr>
                <w:rFonts w:eastAsia="Times New Roman" w:cs="Times New Roman"/>
                <w:sz w:val="20"/>
                <w:szCs w:val="20"/>
                <w:lang w:val="lv-LV" w:eastAsia="lv-LV"/>
              </w:rPr>
            </w:pPr>
            <w:r w:rsidRPr="00AA1497">
              <w:rPr>
                <w:rFonts w:eastAsia="Times New Roman" w:cs="Times New Roman"/>
                <w:sz w:val="20"/>
                <w:szCs w:val="20"/>
                <w:lang w:val="lv-LV" w:eastAsia="lv-LV"/>
              </w:rPr>
              <w:t xml:space="preserve">1) Direktīva 2010/31/ES par ēku energoefektivitāti paredzējusi, ka valsts veicina, lai ēkas atjaunojot padarītu tās par gandrīz nulles enerģijas ēkām; </w:t>
            </w:r>
          </w:p>
          <w:p w14:paraId="3F1578E3" w14:textId="77777777" w:rsidR="002B083C" w:rsidRPr="00AA1497" w:rsidRDefault="002B083C" w:rsidP="00076ADD">
            <w:pPr>
              <w:spacing w:line="240" w:lineRule="auto"/>
              <w:rPr>
                <w:rFonts w:eastAsia="Times New Roman"/>
                <w:sz w:val="20"/>
                <w:szCs w:val="20"/>
                <w:lang w:eastAsia="lv-LV"/>
              </w:rPr>
            </w:pPr>
            <w:r w:rsidRPr="00AA1497">
              <w:rPr>
                <w:rFonts w:eastAsia="Times New Roman"/>
                <w:sz w:val="20"/>
                <w:szCs w:val="20"/>
                <w:lang w:eastAsia="lv-LV"/>
              </w:rPr>
              <w:t>2) Līdz 2050.gadam jāsasniedz ēku dekarbonizācijas mērķi;</w:t>
            </w:r>
          </w:p>
          <w:p w14:paraId="35CB6200" w14:textId="77777777" w:rsidR="002B083C" w:rsidRPr="00AA1497" w:rsidRDefault="002B083C" w:rsidP="002B083C">
            <w:pPr>
              <w:pStyle w:val="ListParagraph"/>
              <w:numPr>
                <w:ilvl w:val="0"/>
                <w:numId w:val="2"/>
              </w:numPr>
              <w:suppressAutoHyphens/>
              <w:autoSpaceDN w:val="0"/>
              <w:spacing w:line="240" w:lineRule="auto"/>
              <w:contextualSpacing w:val="0"/>
              <w:textAlignment w:val="baseline"/>
              <w:rPr>
                <w:rFonts w:eastAsia="Times New Roman" w:cs="Times New Roman"/>
                <w:sz w:val="20"/>
                <w:szCs w:val="20"/>
                <w:lang w:val="lv-LV" w:eastAsia="lv-LV"/>
              </w:rPr>
            </w:pPr>
            <w:r w:rsidRPr="00AA1497">
              <w:rPr>
                <w:rFonts w:eastAsia="Times New Roman" w:cs="Times New Roman"/>
                <w:sz w:val="20"/>
                <w:szCs w:val="20"/>
                <w:lang w:val="lv-LV" w:eastAsia="lv-LV"/>
              </w:rPr>
              <w:t>renovējot ēkas, kurās ir azbestu saturoši materiāli, azbestu saturošus izstrādājumus apstrādās un transportēs  atbilstoši normatīvajiem aktiem par darba aizsardzības prasībām darbā ar azbestu, tai skaitā nepieļaujot azbesta šķiedru vai putekļu nokļūšanu vidē;</w:t>
            </w:r>
          </w:p>
          <w:p w14:paraId="567B630E" w14:textId="77777777" w:rsidR="002B083C" w:rsidRPr="00AA1497" w:rsidRDefault="002B083C" w:rsidP="002B083C">
            <w:pPr>
              <w:pStyle w:val="ListParagraph"/>
              <w:numPr>
                <w:ilvl w:val="0"/>
                <w:numId w:val="2"/>
              </w:numPr>
              <w:shd w:val="clear" w:color="auto" w:fill="FFFFFF"/>
              <w:spacing w:line="240" w:lineRule="auto"/>
              <w:contextualSpacing w:val="0"/>
              <w:rPr>
                <w:rFonts w:eastAsia="Times New Roman" w:cs="Times New Roman"/>
                <w:sz w:val="20"/>
                <w:szCs w:val="20"/>
                <w:lang w:val="lv-LV" w:eastAsia="lv-LV"/>
              </w:rPr>
            </w:pPr>
            <w:r w:rsidRPr="00AA1497">
              <w:rPr>
                <w:rFonts w:eastAsia="Times New Roman" w:cs="Times New Roman"/>
                <w:sz w:val="20"/>
                <w:szCs w:val="20"/>
                <w:lang w:val="lv-LV" w:eastAsia="lv-LV"/>
              </w:rPr>
              <w:t xml:space="preserve">azbesta atkritumu tālākā apsaimniekošana paredzēta atbilstoši </w:t>
            </w:r>
            <w:r w:rsidRPr="00AA1497">
              <w:rPr>
                <w:rFonts w:eastAsia="Times New Roman" w:cs="Times New Roman"/>
                <w:bCs/>
                <w:sz w:val="20"/>
                <w:szCs w:val="20"/>
                <w:lang w:val="lv-LV" w:eastAsia="lv-LV"/>
              </w:rPr>
              <w:t xml:space="preserve">Ministru kabineta </w:t>
            </w:r>
            <w:r w:rsidRPr="00AA1497">
              <w:rPr>
                <w:rFonts w:eastAsia="Times New Roman" w:cs="Times New Roman"/>
                <w:sz w:val="20"/>
                <w:szCs w:val="20"/>
                <w:lang w:val="lv-LV" w:eastAsia="lv-LV"/>
              </w:rPr>
              <w:t xml:space="preserve">2011.gada 19.aprīļa </w:t>
            </w:r>
            <w:r w:rsidRPr="00AA1497">
              <w:rPr>
                <w:rFonts w:eastAsia="Times New Roman" w:cs="Times New Roman"/>
                <w:bCs/>
                <w:sz w:val="20"/>
                <w:szCs w:val="20"/>
                <w:lang w:val="lv-LV" w:eastAsia="lv-LV"/>
              </w:rPr>
              <w:t>noteikumiem Nr.301 “Noteikumi par azbesta un azbesta izstrādājumu ražošanas radīto vides piesārņojumu un azbesta atkritumu apsaimniekošanu”.</w:t>
            </w:r>
          </w:p>
          <w:p w14:paraId="5693EDBF" w14:textId="77777777" w:rsidR="002B083C" w:rsidRPr="00AA1497" w:rsidRDefault="002B083C" w:rsidP="00076ADD">
            <w:pPr>
              <w:spacing w:line="240" w:lineRule="auto"/>
              <w:ind w:left="33"/>
              <w:rPr>
                <w:rFonts w:eastAsia="Times New Roman"/>
                <w:sz w:val="20"/>
                <w:szCs w:val="20"/>
                <w:lang w:eastAsia="lv-LV"/>
              </w:rPr>
            </w:pPr>
            <w:r w:rsidRPr="00AA1497">
              <w:rPr>
                <w:rFonts w:eastAsia="Times New Roman"/>
                <w:sz w:val="20"/>
                <w:szCs w:val="20"/>
                <w:lang w:eastAsia="lv-LV"/>
              </w:rPr>
              <w:t xml:space="preserve">Negatīvu ietekmi var radīt pāreja uz plašāku tāda atjaunojamā energoresursa kā biomasas izmantošanas veicināšana enerģētikas, rūpniecības un mājsaimniecību sektorā. Pēdējo gadu laikā plašākas biomasas </w:t>
            </w:r>
            <w:r w:rsidRPr="00AA1497">
              <w:rPr>
                <w:rFonts w:eastAsia="Times New Roman"/>
                <w:sz w:val="20"/>
                <w:szCs w:val="20"/>
                <w:lang w:eastAsia="lv-LV"/>
              </w:rPr>
              <w:lastRenderedPageBreak/>
              <w:t>izmantošanas rezultātā Latvijā ir palielinājušās smalko daļiņu PM2,5 un gaistošo organisko savienojumu emisijas gaisā enerģētikas un rūpniecības sektorā, kā rezultātā tiek apgrūtināta Latvijai noteikto emisiju samazināšanas mērķu izpilde. Šīs negatīvās ietekmes kompensēšanai būtu jāveic papildus pasākumi un galvenokārt jāveicina tādu atjaunojamo energoresursu izmantošana, kas nerada emisijas (saule, vējš utt.).</w:t>
            </w:r>
            <w:r w:rsidRPr="00AA1497">
              <w:rPr>
                <w:rFonts w:eastAsia="Times New Roman"/>
                <w:sz w:val="20"/>
                <w:szCs w:val="20"/>
              </w:rPr>
              <w:t xml:space="preserve"> Lai samazinātu ietekmi, tiks atbalstītas darbības, kas paredz gaisa kvalitātes uzlabošanas iekārtu iegādi, atjaunošanu vai nomaiņu, ja nav iespējams nodrošināt ēkas siltumenerģiju ražojošā avota pieslēgšanu centralizētajai siltumapgādes sistēmai un ja projekta īstenošanas rezultātā paredzama gaisa kvalitātes samazināšanās. Plānojot minētos pasākumus, būs nepieciešams ievērot Ministru kabineta 2021. gada 7. janvāra noteikumos Nr. 17 "Noteikumi par gaisa piesārņojuma ierobežošanu no sadedzināšanas iekārtām" noteiktās prasības. Nepieciešamības gadījumā, projektā tiks plānota gaisa un dūmgāzu attīrīšanas iekārtu, putekļu un citu emisiju samazināšanas iekārtu, tai skaitā elektrostatisko filtru uzstādīšana, kas tiks veikta vienlaikus ar siltumenerģijas ražošanas iekārtu rekonstrukciju, iegādi, atjaunošana vai nomaiņu.</w:t>
            </w:r>
          </w:p>
          <w:p w14:paraId="0414942E" w14:textId="77777777" w:rsidR="002B083C" w:rsidRPr="00AA1497" w:rsidRDefault="002B083C" w:rsidP="00076ADD">
            <w:pPr>
              <w:spacing w:line="240" w:lineRule="auto"/>
              <w:rPr>
                <w:rFonts w:eastAsia="Times New Roman"/>
                <w:sz w:val="20"/>
                <w:szCs w:val="20"/>
                <w:lang w:eastAsia="lv-LV"/>
              </w:rPr>
            </w:pPr>
            <w:r w:rsidRPr="00AA1497">
              <w:rPr>
                <w:rFonts w:eastAsia="Times New Roman"/>
                <w:sz w:val="20"/>
                <w:szCs w:val="20"/>
                <w:lang w:eastAsia="lv-LV"/>
              </w:rPr>
              <w:t>Ministru kabineta 2021. gada 7. janvāra noteikumi Nr. 17 "Noteikumi par gaisa piesārņojuma ierobežošanu no sadedzināšanas iekārtām" nosaka kārtību, kādā novērš, ierobežo un kontrolē gaisu piesārņojošo vielu emisiju no sadedzināšanas iekārtām. Nosaka īpašas vides prasības sadedzināšanas iekārtām. Kā arī nosaka kārtību, kādā operators kontrolē gaisu piesārņojošo vielu emisiju gaisā, veic monitoringu un sniedz attiecīgu informāciju un  kārtību, kādā nodrošina informācijas pieejamību sabiedrībai par sadedzināšanas iekārtu radīto gaisa piesārņojumu.</w:t>
            </w:r>
          </w:p>
          <w:p w14:paraId="24854962" w14:textId="77777777" w:rsidR="002B083C" w:rsidRPr="00AA1497" w:rsidRDefault="002B083C" w:rsidP="00076ADD">
            <w:pPr>
              <w:spacing w:line="240" w:lineRule="auto"/>
            </w:pPr>
            <w:r w:rsidRPr="00AA1497">
              <w:rPr>
                <w:rFonts w:eastAsia="Times New Roman"/>
                <w:sz w:val="20"/>
                <w:szCs w:val="20"/>
              </w:rPr>
              <w:t>Lai neradītu negatīvu ietekmi uz gaisa kvalitāti, ko varētu sekmēt pāreja tāda atjaunojamā energoresursa kā biomasas izmantošanas veicināšana, negatīvās ietekmes kompensēšanai blīvi apdzīvotās teritorijās tiks veicināta arī tādu atjaunojamo energoresursu izmantošana, kas nerada emisijas (saule, vējš utt.) vai tiks atbalstīta vecu sadedzināšanas iekārtu, kas izmanto biomasu vai ogles, aizstāšana ar jaunām, efektīvām un aprīkotām ar emisiju attīrīšanas iekārtām, kā arī pašvaldības ēku pieslēgšana pie centralizētās siltumapgādes.Teritorijās, kur jau šobrīd novērojamas gaisa kvalitātes problēmas nedrīkst atļaut jaunu piesārņojošu avotu uzstādīšanu. Šāda prasība atbilstoši likuma “Par piesārņojumu” 14.panta pirmajai daļai tiek noteikta attiecībā uz iekārtām ar jaudu virs 0,2 MW un ja to plānots uzstādīt teritorijā, kur jau šobrīd eksistē gaisa kvalitātes problēmas, atļauja tam netiek izsniegta.</w:t>
            </w:r>
          </w:p>
          <w:p w14:paraId="285CEF92" w14:textId="77777777" w:rsidR="002B083C" w:rsidRPr="00AA1497" w:rsidRDefault="002B083C" w:rsidP="00076ADD">
            <w:pPr>
              <w:spacing w:line="240" w:lineRule="auto"/>
              <w:ind w:left="33"/>
              <w:rPr>
                <w:sz w:val="20"/>
                <w:szCs w:val="20"/>
              </w:rPr>
            </w:pPr>
          </w:p>
        </w:tc>
      </w:tr>
      <w:tr w:rsidR="002B083C" w:rsidRPr="001777A8" w14:paraId="42551E60" w14:textId="77777777" w:rsidTr="00076ADD">
        <w:trPr>
          <w:trHeight w:val="1680"/>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3C8AE5A5" w14:textId="77777777" w:rsidR="002B083C" w:rsidRPr="00AA1497" w:rsidRDefault="002B083C" w:rsidP="00076ADD">
            <w:pPr>
              <w:spacing w:line="240" w:lineRule="auto"/>
              <w:rPr>
                <w:sz w:val="20"/>
                <w:szCs w:val="20"/>
              </w:rPr>
            </w:pPr>
            <w:r w:rsidRPr="00AA1497">
              <w:rPr>
                <w:rFonts w:eastAsia="Times New Roman"/>
                <w:b/>
                <w:bCs/>
                <w:sz w:val="20"/>
                <w:szCs w:val="20"/>
                <w:lang w:eastAsia="lv-LV"/>
              </w:rPr>
              <w:lastRenderedPageBreak/>
              <w:t>Bioloģiskās daudzveidības un ekosistēmu aizsardzība un atjaunošana.</w:t>
            </w:r>
            <w:r w:rsidRPr="00AA1497">
              <w:rPr>
                <w:rFonts w:eastAsia="Times New Roman"/>
                <w:sz w:val="20"/>
                <w:szCs w:val="20"/>
                <w:lang w:eastAsia="lv-LV"/>
              </w:rPr>
              <w:t xml:space="preserve"> Vai paredzams, ka pasākums:</w:t>
            </w:r>
            <w:r w:rsidRPr="00AA1497">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567" w:type="dxa"/>
            <w:tcBorders>
              <w:top w:val="single" w:sz="4" w:space="0" w:color="000000" w:themeColor="text1"/>
              <w:left w:val="single" w:sz="4" w:space="0" w:color="000000" w:themeColor="text1"/>
              <w:bottom w:val="single" w:sz="4" w:space="0" w:color="000000" w:themeColor="text1"/>
            </w:tcBorders>
            <w:shd w:val="clear" w:color="auto" w:fill="auto"/>
            <w:tcMar>
              <w:top w:w="15" w:type="dxa"/>
              <w:left w:w="108" w:type="dxa"/>
              <w:bottom w:w="15" w:type="dxa"/>
              <w:right w:w="108" w:type="dxa"/>
            </w:tcMar>
            <w:vAlign w:val="center"/>
          </w:tcPr>
          <w:p w14:paraId="3798B845" w14:textId="475C4CF7" w:rsidR="002B083C" w:rsidRPr="00AA1497" w:rsidRDefault="00930C91" w:rsidP="00076ADD">
            <w:pPr>
              <w:spacing w:line="240" w:lineRule="auto"/>
              <w:jc w:val="center"/>
              <w:rPr>
                <w:rFonts w:eastAsia="Times New Roman"/>
                <w:b/>
                <w:bCs/>
                <w:sz w:val="20"/>
                <w:szCs w:val="20"/>
                <w:lang w:eastAsia="lv-LV"/>
              </w:rPr>
            </w:pPr>
            <w:r w:rsidRPr="00AA1497">
              <w:rPr>
                <w:rFonts w:eastAsia="Times New Roman"/>
                <w:b/>
                <w:bCs/>
                <w:sz w:val="20"/>
                <w:szCs w:val="20"/>
                <w:lang w:eastAsia="lv-LV"/>
              </w:rPr>
              <w:t>X</w:t>
            </w:r>
          </w:p>
        </w:tc>
        <w:tc>
          <w:tcPr>
            <w:tcW w:w="94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78E1F3EC" w14:textId="77777777" w:rsidR="002B083C" w:rsidRPr="00AA1497" w:rsidRDefault="002B083C" w:rsidP="00076ADD">
            <w:pPr>
              <w:spacing w:line="240" w:lineRule="auto"/>
              <w:jc w:val="both"/>
              <w:rPr>
                <w:rFonts w:eastAsia="Times New Roman"/>
                <w:sz w:val="20"/>
                <w:szCs w:val="20"/>
                <w:lang w:eastAsia="lv-LV"/>
              </w:rPr>
            </w:pPr>
            <w:r w:rsidRPr="00AA1497">
              <w:rPr>
                <w:rFonts w:eastAsia="Times New Roman"/>
                <w:sz w:val="20"/>
                <w:szCs w:val="20"/>
                <w:lang w:eastAsia="lv-LV"/>
              </w:rPr>
              <w:t>Pasākumu paredzamā ietekme uz bioloģiskās daudzveidības un ekosistēmu aizsardzību ir nebūtiska, ievērojot to tiešo vai netiešo efektu dzīves ciklā. Investīcijas daudzdzīvokļu māju ēku energoefektivitātē nav paredzētas ēkās, kuras atrodas NATURA 2000 teritorijā, vai īpaši aizsargājamās dabas teritorijās. Energoefektivitātes uzlabošanas investīcijas paredzētas ēkās, kas neskar īpaši aizsargājamās dabas teritorijas.</w:t>
            </w:r>
          </w:p>
          <w:p w14:paraId="0F57A22B" w14:textId="77777777" w:rsidR="002B083C" w:rsidRPr="00AA1497" w:rsidRDefault="002B083C" w:rsidP="00076ADD">
            <w:pPr>
              <w:spacing w:line="240" w:lineRule="auto"/>
              <w:jc w:val="both"/>
              <w:rPr>
                <w:rFonts w:eastAsia="Times New Roman"/>
                <w:sz w:val="20"/>
                <w:szCs w:val="20"/>
                <w:lang w:eastAsia="lv-LV"/>
              </w:rPr>
            </w:pPr>
            <w:r w:rsidRPr="00AA1497">
              <w:rPr>
                <w:rFonts w:eastAsia="Times New Roman"/>
                <w:sz w:val="20"/>
                <w:szCs w:val="20"/>
                <w:lang w:eastAsia="lv-LV"/>
              </w:rPr>
              <w:t xml:space="preserve"> </w:t>
            </w:r>
          </w:p>
          <w:p w14:paraId="2FF501CC" w14:textId="77777777" w:rsidR="002B083C" w:rsidRPr="00AA1497" w:rsidRDefault="002B083C" w:rsidP="00076ADD">
            <w:pPr>
              <w:spacing w:line="240" w:lineRule="auto"/>
              <w:jc w:val="both"/>
              <w:rPr>
                <w:rFonts w:eastAsia="Times New Roman"/>
                <w:sz w:val="20"/>
                <w:szCs w:val="20"/>
                <w:lang w:eastAsia="lv-LV"/>
              </w:rPr>
            </w:pPr>
            <w:r w:rsidRPr="00AA1497">
              <w:rPr>
                <w:rFonts w:eastAsia="Times New Roman"/>
                <w:sz w:val="20"/>
                <w:szCs w:val="20"/>
                <w:lang w:eastAsia="lv-LV"/>
              </w:rPr>
              <w:t>Nav paredzama negatīva ietekme uz bioloģisko daudzveidību un ekosistēmas aizsardzību un atjaunošanu, jo:</w:t>
            </w:r>
          </w:p>
          <w:p w14:paraId="6552AF19" w14:textId="77777777" w:rsidR="002B083C" w:rsidRPr="00AA1497" w:rsidRDefault="002B083C" w:rsidP="00076ADD">
            <w:pPr>
              <w:spacing w:line="240" w:lineRule="auto"/>
              <w:jc w:val="both"/>
              <w:rPr>
                <w:rFonts w:eastAsia="Times New Roman"/>
                <w:sz w:val="20"/>
                <w:szCs w:val="20"/>
                <w:lang w:eastAsia="lv-LV"/>
              </w:rPr>
            </w:pPr>
            <w:r w:rsidRPr="00AA1497">
              <w:rPr>
                <w:rFonts w:eastAsia="Times New Roman"/>
                <w:sz w:val="20"/>
                <w:szCs w:val="20"/>
                <w:lang w:eastAsia="lv-LV"/>
              </w:rPr>
              <w:t xml:space="preserve"> </w:t>
            </w:r>
          </w:p>
          <w:p w14:paraId="30143091" w14:textId="77777777" w:rsidR="002B083C" w:rsidRPr="00AA1497" w:rsidRDefault="002B083C" w:rsidP="00076ADD">
            <w:pPr>
              <w:spacing w:line="240" w:lineRule="auto"/>
              <w:jc w:val="both"/>
              <w:rPr>
                <w:rFonts w:eastAsia="Times New Roman"/>
                <w:sz w:val="20"/>
                <w:szCs w:val="20"/>
                <w:lang w:eastAsia="lv-LV"/>
              </w:rPr>
            </w:pPr>
            <w:r w:rsidRPr="00AA1497">
              <w:rPr>
                <w:rFonts w:eastAsia="Times New Roman"/>
                <w:sz w:val="20"/>
                <w:szCs w:val="20"/>
                <w:lang w:eastAsia="lv-LV"/>
              </w:rPr>
              <w:lastRenderedPageBreak/>
              <w:t xml:space="preserve">Visa Latvijā izmantotā biomasa, tai skaitā koksne atbilst ilgtspējas ietaupījuma kritērijiem, kas ir noteikti spēkā esošajos ES tiesību aktos - direktīvā 20018/2001. Atbilstību apliecina ekspertu vērtējums par Latvijā iegūtas biomasas atbilstību ilgtspējības kritērijiem (skat. </w:t>
            </w:r>
            <w:hyperlink r:id="rId5" w:history="1">
              <w:r w:rsidRPr="00AA1497">
                <w:rPr>
                  <w:rFonts w:eastAsia="Times New Roman"/>
                  <w:sz w:val="20"/>
                  <w:szCs w:val="20"/>
                  <w:lang w:eastAsia="lv-LV"/>
                </w:rPr>
                <w:t>https://server.em.gov.lv/index.php/s/lzwpSQVZ9fB7eqV</w:t>
              </w:r>
            </w:hyperlink>
            <w:r w:rsidRPr="00AA1497">
              <w:rPr>
                <w:rFonts w:eastAsia="Times New Roman"/>
                <w:sz w:val="20"/>
                <w:szCs w:val="20"/>
                <w:lang w:eastAsia="lv-LV"/>
              </w:rPr>
              <w:t xml:space="preserve"> ), atsaucoties uz EU NDC: </w:t>
            </w:r>
            <w:hyperlink r:id="rId6" w:history="1">
              <w:r w:rsidRPr="00AA1497">
                <w:rPr>
                  <w:rFonts w:eastAsia="Times New Roman"/>
                  <w:sz w:val="20"/>
                  <w:szCs w:val="20"/>
                  <w:lang w:eastAsia="lv-LV"/>
                </w:rPr>
                <w:t>https://treaties.un.org/Pages/ViewDetails.aspx?src=TREATY&amp;mtdsg_no=XXVII-7-d&amp;chapter=27&amp;clang=_en</w:t>
              </w:r>
            </w:hyperlink>
          </w:p>
          <w:p w14:paraId="11980664" w14:textId="77777777" w:rsidR="002B083C" w:rsidRPr="00AA1497" w:rsidRDefault="002B083C" w:rsidP="00076ADD">
            <w:pPr>
              <w:spacing w:line="240" w:lineRule="auto"/>
              <w:jc w:val="both"/>
              <w:rPr>
                <w:rFonts w:eastAsia="Times New Roman"/>
                <w:sz w:val="20"/>
                <w:szCs w:val="20"/>
                <w:lang w:eastAsia="lv-LV"/>
              </w:rPr>
            </w:pPr>
            <w:r w:rsidRPr="00AA1497">
              <w:rPr>
                <w:rFonts w:eastAsia="Times New Roman"/>
                <w:sz w:val="20"/>
                <w:szCs w:val="20"/>
                <w:lang w:eastAsia="lv-LV"/>
              </w:rPr>
              <w:t xml:space="preserve">un Law on Paris Agreement: </w:t>
            </w:r>
            <w:hyperlink r:id="rId7" w:history="1">
              <w:r w:rsidRPr="00AA1497">
                <w:rPr>
                  <w:rFonts w:eastAsia="Times New Roman"/>
                  <w:sz w:val="20"/>
                  <w:szCs w:val="20"/>
                  <w:lang w:eastAsia="lv-LV"/>
                </w:rPr>
                <w:t>https://likumi.lv/ta/id/288575-par-apvienoto-naciju-organizacijas-visparejas-konvencijas-par-klimata-parmainam-parizes-noligumu</w:t>
              </w:r>
            </w:hyperlink>
            <w:r w:rsidRPr="00AA1497">
              <w:rPr>
                <w:rFonts w:eastAsia="Times New Roman"/>
                <w:sz w:val="20"/>
                <w:szCs w:val="20"/>
                <w:lang w:eastAsia="lv-LV"/>
              </w:rPr>
              <w:t xml:space="preserve"> .</w:t>
            </w:r>
          </w:p>
          <w:p w14:paraId="1039EA65" w14:textId="77777777" w:rsidR="002B083C" w:rsidRPr="00AA1497" w:rsidRDefault="002B083C" w:rsidP="00076ADD">
            <w:pPr>
              <w:spacing w:line="240" w:lineRule="auto"/>
              <w:jc w:val="both"/>
              <w:rPr>
                <w:rFonts w:eastAsia="Times New Roman"/>
                <w:sz w:val="20"/>
                <w:szCs w:val="20"/>
                <w:lang w:eastAsia="lv-LV"/>
              </w:rPr>
            </w:pPr>
            <w:r w:rsidRPr="00AA1497">
              <w:rPr>
                <w:rFonts w:eastAsia="Times New Roman"/>
                <w:sz w:val="20"/>
                <w:szCs w:val="20"/>
                <w:lang w:eastAsia="lv-LV"/>
              </w:rPr>
              <w:t xml:space="preserve"> </w:t>
            </w:r>
          </w:p>
          <w:p w14:paraId="18E1E3C9" w14:textId="77777777" w:rsidR="002B083C" w:rsidRPr="00AA1497" w:rsidRDefault="002B083C" w:rsidP="00076ADD">
            <w:pPr>
              <w:spacing w:line="240" w:lineRule="auto"/>
              <w:jc w:val="both"/>
              <w:rPr>
                <w:rFonts w:eastAsia="Times New Roman"/>
                <w:sz w:val="20"/>
                <w:szCs w:val="20"/>
                <w:lang w:eastAsia="lv-LV"/>
              </w:rPr>
            </w:pPr>
            <w:r w:rsidRPr="00AA1497">
              <w:rPr>
                <w:rFonts w:eastAsia="Times New Roman"/>
                <w:sz w:val="20"/>
                <w:szCs w:val="20"/>
                <w:lang w:eastAsia="lv-LV"/>
              </w:rPr>
              <w:t>Latvijā šobrīd enerģētiskajai biomasai tiek izmantoti pārsvarā meža atkritumi un atlikumi, kas ir pārpalikumi no apaļkoksnes ieguves, kā arī tehniskā koksne, kas nav izmantojama nevienam citam izmantošanas veidam kā enerģētikai, piemēram, vējgāzes, snieglauzes un kaitēkļu bojāti koki, kuru dēļ koksne ir zaudējusi savu integritāti un tiek izmantota enerģētiskajām vajadzībām.</w:t>
            </w:r>
          </w:p>
          <w:p w14:paraId="2CEC4740" w14:textId="77777777" w:rsidR="002B083C" w:rsidRPr="00AA1497" w:rsidRDefault="002B083C" w:rsidP="00076ADD">
            <w:pPr>
              <w:spacing w:line="240" w:lineRule="auto"/>
              <w:jc w:val="both"/>
              <w:rPr>
                <w:rFonts w:eastAsia="Times New Roman"/>
                <w:sz w:val="20"/>
                <w:szCs w:val="20"/>
                <w:lang w:eastAsia="lv-LV"/>
              </w:rPr>
            </w:pPr>
            <w:r w:rsidRPr="00AA1497">
              <w:rPr>
                <w:rFonts w:eastAsia="Times New Roman"/>
                <w:sz w:val="20"/>
                <w:szCs w:val="20"/>
                <w:lang w:eastAsia="lv-LV"/>
              </w:rPr>
              <w:t xml:space="preserve"> </w:t>
            </w:r>
          </w:p>
          <w:p w14:paraId="7F7622AF" w14:textId="77777777" w:rsidR="002B083C" w:rsidRPr="00AA1497" w:rsidRDefault="002B083C" w:rsidP="00076ADD">
            <w:pPr>
              <w:spacing w:line="240" w:lineRule="auto"/>
              <w:jc w:val="both"/>
              <w:rPr>
                <w:rFonts w:eastAsia="Times New Roman"/>
                <w:sz w:val="20"/>
                <w:szCs w:val="20"/>
                <w:lang w:eastAsia="lv-LV"/>
              </w:rPr>
            </w:pPr>
            <w:r w:rsidRPr="00AA1497">
              <w:rPr>
                <w:rFonts w:eastAsia="Times New Roman"/>
                <w:sz w:val="20"/>
                <w:szCs w:val="20"/>
                <w:lang w:eastAsia="lv-LV"/>
              </w:rPr>
              <w:t>Nolūkā apzināt Darbības programmas Latvijai 2021.–2027.gadam un tā realizācijas pasākumu ietekmi uz vidi, veicināt sabiedrības līdzdalību vides pārskata sagatavošanā, iesaistīt sabiedrību vides pārskata apspriešanā un konsultācijās, kā arī ņemt vērā vides pārskata un tā apspriešanas rezultātus plānošanas dokumenta sagatavošanā un izmantot lēmumu pieņemšanai saskaņā ar likuma „Par ietekmes uz vidi novērtējumu” un Ministru kabineta 2004.gada 23.marta noteikumu Nr.157 “Kārtība, kādā veicams ietekmes uz vidi stratēģiskais novērtējums” ir veikts stratēģiskais ietekmes uz vidi novērtējums un vides pārskats (</w:t>
            </w:r>
            <w:hyperlink r:id="rId8" w:history="1">
              <w:r w:rsidRPr="00AA1497">
                <w:rPr>
                  <w:rFonts w:eastAsia="Times New Roman"/>
                  <w:sz w:val="20"/>
                  <w:szCs w:val="20"/>
                  <w:lang w:eastAsia="lv-LV"/>
                </w:rPr>
                <w:t>https://www.esfondi.lv/upload/2021-2027/vides-parskats_28122020.pdf</w:t>
              </w:r>
            </w:hyperlink>
            <w:r w:rsidRPr="00AA1497">
              <w:rPr>
                <w:rFonts w:eastAsia="Times New Roman"/>
                <w:sz w:val="20"/>
                <w:szCs w:val="20"/>
                <w:lang w:eastAsia="lv-LV"/>
              </w:rPr>
              <w:t xml:space="preserve"> ). Ietekmes uz vidi novērtējumā tika vērtēti šādi bioloģiskās daudzveidības kritēriji: ES nozīmes biotopu labvēlīga aizsardzības statusa paaugstināšana, Īpaši aizsargājamo sugu  labvēlīga aizsardzības statusa paaugstināšana, bīoloģiskajai daudzveidībai nozīmīgu teritoriju, objektu aizsardzība. Atbilstoši novērtējumam ir secināts, ka AER izmantošana enerģētikā samazinās tradicionālo energoresursu izmantošanu, t.i. sekmēs dabas resursu racionālu izmantošanu, bet vienlaikus, pieaugot pieprasījumam pēc biomasas kā AER avota, lauksaimniecības plašās teritorijās var veidoties monokultūras, kas negatīvi ilgtermiņā ietekmētu bioloģisko daudzveidību (mazinoties sugu daudzveidībai) un arī ainavu. Ietekme izpaudīsies vietās, novados vai reģionos, kur biomasas ražošanai izmantotu lauksaimniecības zemes. Biomasas ražošanai ir sagaidāma pozitīva ietekme uz lauku teritoriju ainavu, atjaunojoties dabiskajiem zālājiem, - arī uz bioloģisko daudzveidību, ja biomasas ieguvei izmanto kokus un krūmus aizaugušajās lauksaimniecības zemē. Saskaņā ar novērtējumu energoefektivitātes veicināšanas un siltumnīcefekta gāzu emisiju samazināšanas pasākumiem var būt tieša, pozitīva, vidēja termiņa, ilgtermiņa ietekme uz klimata pārmaiņām (SEG emisiju samazināšana), gaisa kvalitāti, bioloģisko daudzveidību, ainavu, kultūras mantojumu, cilvēku veselību un resursu izmantošanu, savukārt negatīva ietekme uz bioloģisko daudzveidību un ainavu, var rasties attīstoties monokultūrām lauksaimniecībā, kā arī negatīva ietekme var rasties uz kultūras mantojumu, ja veicot energoefektivitātes pasākumus, netiek saglabātas kultūras mantojuma vērtības.</w:t>
            </w:r>
          </w:p>
          <w:p w14:paraId="721D9BDE" w14:textId="77777777" w:rsidR="002B083C" w:rsidRPr="00AA1497" w:rsidRDefault="002B083C" w:rsidP="00076ADD">
            <w:pPr>
              <w:spacing w:line="240" w:lineRule="auto"/>
              <w:jc w:val="both"/>
              <w:rPr>
                <w:rFonts w:eastAsia="Times New Roman"/>
                <w:sz w:val="20"/>
                <w:szCs w:val="20"/>
                <w:lang w:eastAsia="lv-LV"/>
              </w:rPr>
            </w:pPr>
            <w:r w:rsidRPr="00AA1497">
              <w:rPr>
                <w:rFonts w:eastAsia="Times New Roman"/>
                <w:sz w:val="20"/>
                <w:szCs w:val="20"/>
                <w:lang w:eastAsia="lv-LV"/>
              </w:rPr>
              <w:t xml:space="preserve"> </w:t>
            </w:r>
          </w:p>
          <w:p w14:paraId="74F17D12" w14:textId="77777777" w:rsidR="002B083C" w:rsidRPr="00AA1497" w:rsidRDefault="002B083C" w:rsidP="00076ADD">
            <w:pPr>
              <w:spacing w:line="240" w:lineRule="auto"/>
              <w:jc w:val="both"/>
              <w:rPr>
                <w:rFonts w:eastAsia="Times New Roman"/>
                <w:sz w:val="20"/>
                <w:szCs w:val="20"/>
                <w:lang w:eastAsia="lv-LV"/>
              </w:rPr>
            </w:pPr>
            <w:r w:rsidRPr="00AA1497">
              <w:rPr>
                <w:rFonts w:eastAsia="Times New Roman"/>
                <w:sz w:val="20"/>
                <w:szCs w:val="20"/>
                <w:lang w:eastAsia="lv-LV"/>
              </w:rPr>
              <w:lastRenderedPageBreak/>
              <w:t>Tā kā atbilstoši Nacionālais enerģētikas un klimata plānam 2021.-2030.gadam (NEKP 2030) Latvijā netiek plānots būtisku biomasas izmantošanas pieaugumu, bet plāno pāriet uz ne-emisiju AER tehnoloģijām - saule, vējš, siltumsūkņi, elektroenerģija utt. būiska ietekme uz bioloģisko daudzveidību netiks radīta. Turklāt atbilstoši ANM plānā minētajam apakšaktivitātes ietvaros pamatā tiks realizēti saules AER projekti un tikai neliela daļa biomasas AER.</w:t>
            </w:r>
          </w:p>
          <w:p w14:paraId="6F580B41" w14:textId="77777777" w:rsidR="002B083C" w:rsidRPr="00AA1497" w:rsidRDefault="002B083C" w:rsidP="00076ADD">
            <w:pPr>
              <w:spacing w:line="240" w:lineRule="auto"/>
              <w:jc w:val="both"/>
              <w:rPr>
                <w:rFonts w:eastAsia="Times New Roman"/>
                <w:sz w:val="20"/>
                <w:szCs w:val="20"/>
                <w:lang w:eastAsia="lv-LV"/>
              </w:rPr>
            </w:pPr>
            <w:r w:rsidRPr="00AA1497">
              <w:rPr>
                <w:rFonts w:eastAsia="Times New Roman"/>
                <w:sz w:val="20"/>
                <w:szCs w:val="20"/>
                <w:lang w:eastAsia="lv-LV"/>
              </w:rPr>
              <w:t xml:space="preserve"> </w:t>
            </w:r>
          </w:p>
          <w:p w14:paraId="1FB4B639" w14:textId="77777777" w:rsidR="002B083C" w:rsidRPr="00AA1497" w:rsidRDefault="002B083C" w:rsidP="00076ADD">
            <w:pPr>
              <w:spacing w:line="240" w:lineRule="auto"/>
              <w:jc w:val="both"/>
              <w:rPr>
                <w:rFonts w:eastAsia="Times New Roman"/>
                <w:sz w:val="20"/>
                <w:szCs w:val="20"/>
                <w:lang w:eastAsia="lv-LV"/>
              </w:rPr>
            </w:pPr>
            <w:r w:rsidRPr="00AA1497">
              <w:rPr>
                <w:rFonts w:eastAsia="Times New Roman"/>
                <w:sz w:val="20"/>
                <w:szCs w:val="20"/>
                <w:lang w:eastAsia="lv-LV"/>
              </w:rPr>
              <w:t>Latvijā ir spēcīgi reglamentētas īpaši aizsargājamās teritorijas, un ir spēcīgi kontrolēts, vai un ar ko tiek apmežotas iepriekš atmežotas teritorijas. Piemēram, atbilstoši likuma “Par īpaši aizsargājamām dabas teritorijām” (</w:t>
            </w:r>
            <w:hyperlink r:id="rId9" w:history="1">
              <w:r w:rsidRPr="00AA1497">
                <w:rPr>
                  <w:rFonts w:eastAsia="Times New Roman"/>
                  <w:sz w:val="20"/>
                  <w:szCs w:val="20"/>
                  <w:lang w:eastAsia="lv-LV"/>
                </w:rPr>
                <w:t>https://likumi.lv/ta/id/59994-par-ipasi-aizsargajamam-dabas-teritorijam</w:t>
              </w:r>
            </w:hyperlink>
            <w:r w:rsidRPr="00AA1497">
              <w:rPr>
                <w:rFonts w:eastAsia="Times New Roman"/>
                <w:sz w:val="20"/>
                <w:szCs w:val="20"/>
                <w:lang w:eastAsia="lv-LV"/>
              </w:rPr>
              <w:t xml:space="preserve"> ) 21.pantam veicot tautsaimniecības un teritoriālo plānošanu, zemes ierīcību un meža apsaimniekošanu, un visu veidu projektēšanas darbus, jāievēro aizsargājamās teritorijas izvietojums, tās aizsardzības un izmantošanas noteikumi. Savukārt Ministru kabineta 2010.gada 16.marta noteikumi Nr.264 “Īpaši aizsargājamo dabas teritoriju vispārējie aizsardzības un izmantošanas noteikumi” (</w:t>
            </w:r>
            <w:hyperlink r:id="rId10" w:history="1">
              <w:r w:rsidRPr="00AA1497">
                <w:rPr>
                  <w:rFonts w:eastAsia="Times New Roman"/>
                  <w:sz w:val="20"/>
                  <w:szCs w:val="20"/>
                  <w:lang w:eastAsia="lv-LV"/>
                </w:rPr>
                <w:t>https://likumi.lv/ta/id/207283-ipasi-aizsargajamo-dabas-teritoriju-visparejie-aizsardzibas-un-izmantosanas-noteikumi</w:t>
              </w:r>
            </w:hyperlink>
            <w:r w:rsidRPr="00AA1497">
              <w:rPr>
                <w:rFonts w:eastAsia="Times New Roman"/>
                <w:sz w:val="20"/>
                <w:szCs w:val="20"/>
                <w:lang w:eastAsia="lv-LV"/>
              </w:rPr>
              <w:t xml:space="preserve"> ) noteic īpaši aizsargājamo dabas teritoriju vispārējo aizsardzības un izmantošanas kārtību, tajā skaitā pieļaujamos un aizliegtos darbību veidus aizsargājamās teritorijās, kā arī aizsargājamo teritoriju apzīmēšanai dabā lietojamās speciālās informatīvās zīmes paraugu un tās izveidošanas un lietošanas kārtību.</w:t>
            </w:r>
          </w:p>
          <w:p w14:paraId="72BF7B0D" w14:textId="77777777" w:rsidR="002B083C" w:rsidRPr="00AA1497" w:rsidRDefault="002B083C" w:rsidP="00076ADD">
            <w:pPr>
              <w:spacing w:line="240" w:lineRule="auto"/>
              <w:jc w:val="both"/>
              <w:rPr>
                <w:rFonts w:eastAsia="Times New Roman"/>
                <w:sz w:val="20"/>
                <w:szCs w:val="20"/>
                <w:lang w:eastAsia="lv-LV"/>
              </w:rPr>
            </w:pPr>
            <w:r w:rsidRPr="00AA1497">
              <w:rPr>
                <w:rFonts w:eastAsia="Times New Roman"/>
                <w:sz w:val="20"/>
                <w:szCs w:val="20"/>
                <w:lang w:eastAsia="lv-LV"/>
              </w:rPr>
              <w:t xml:space="preserve"> </w:t>
            </w:r>
          </w:p>
          <w:p w14:paraId="36E09377" w14:textId="77777777" w:rsidR="002B083C" w:rsidRPr="00AA1497" w:rsidRDefault="002B083C" w:rsidP="00076ADD">
            <w:pPr>
              <w:spacing w:line="240" w:lineRule="auto"/>
              <w:jc w:val="both"/>
              <w:rPr>
                <w:rFonts w:eastAsia="Times New Roman"/>
                <w:sz w:val="20"/>
                <w:szCs w:val="20"/>
                <w:lang w:eastAsia="lv-LV"/>
              </w:rPr>
            </w:pPr>
            <w:r w:rsidRPr="00AA1497">
              <w:rPr>
                <w:rFonts w:eastAsia="Times New Roman"/>
                <w:sz w:val="20"/>
                <w:szCs w:val="20"/>
                <w:lang w:eastAsia="lv-LV"/>
              </w:rPr>
              <w:t>Latvijas likumdošana nosaka ierobežojumus attiecībā uz zemes lietošanas veida maiņu (</w:t>
            </w:r>
            <w:hyperlink r:id="rId11" w:history="1">
              <w:r w:rsidRPr="00AA1497">
                <w:rPr>
                  <w:rFonts w:eastAsia="Times New Roman"/>
                  <w:sz w:val="20"/>
                  <w:szCs w:val="20"/>
                  <w:lang w:eastAsia="lv-LV"/>
                </w:rPr>
                <w:t>https://likumi.lv/ta/id/253624-noteikumi-par-atmezosanas-kompensacijas-noteiksanas-kriterijiem-aprekinasanas-un-atlidzinasanas-kartibu</w:t>
              </w:r>
            </w:hyperlink>
            <w:r w:rsidRPr="00AA1497">
              <w:rPr>
                <w:rFonts w:eastAsia="Times New Roman"/>
                <w:sz w:val="20"/>
                <w:szCs w:val="20"/>
                <w:lang w:eastAsia="lv-LV"/>
              </w:rPr>
              <w:t xml:space="preserve"> ). Arī aizsargājamās dabas teritorijās normatīvie akti nosaka ierobežojumus zemes lietošanas veida maiņai, tādējādi nodrošinot mitrzemju aizsardzību</w:t>
            </w:r>
          </w:p>
          <w:p w14:paraId="60860BE1" w14:textId="77777777" w:rsidR="002B083C" w:rsidRPr="00AA1497" w:rsidRDefault="002B083C" w:rsidP="00076ADD">
            <w:pPr>
              <w:spacing w:line="240" w:lineRule="auto"/>
              <w:jc w:val="both"/>
              <w:rPr>
                <w:rFonts w:eastAsia="Times New Roman"/>
                <w:sz w:val="20"/>
                <w:szCs w:val="20"/>
                <w:lang w:eastAsia="lv-LV"/>
              </w:rPr>
            </w:pPr>
            <w:r w:rsidRPr="00AA1497">
              <w:rPr>
                <w:rFonts w:eastAsia="Times New Roman"/>
                <w:sz w:val="20"/>
                <w:szCs w:val="20"/>
                <w:lang w:eastAsia="lv-LV"/>
              </w:rPr>
              <w:t xml:space="preserve"> </w:t>
            </w:r>
          </w:p>
          <w:p w14:paraId="118293CD" w14:textId="77777777" w:rsidR="002B083C" w:rsidRPr="001777A8" w:rsidRDefault="002B083C" w:rsidP="00076ADD">
            <w:pPr>
              <w:spacing w:line="240" w:lineRule="auto"/>
              <w:rPr>
                <w:sz w:val="20"/>
                <w:szCs w:val="20"/>
                <w:lang w:eastAsia="lv-LV"/>
              </w:rPr>
            </w:pPr>
            <w:r w:rsidRPr="00AA1497">
              <w:rPr>
                <w:rFonts w:eastAsia="Times New Roman"/>
                <w:sz w:val="20"/>
                <w:szCs w:val="20"/>
                <w:lang w:eastAsia="lv-LV"/>
              </w:rPr>
              <w:t>Atbilstību nodrošinās tas, ka atbalsta programmas nosacījumos tiks ietverti nosacījumi, kas paredzēs, ka atbalsts tiks sniegts paredzētajām aktivitātēm, kas atbildīs Taksonomijas regulas principiem, un tās deleģētajos aktos iekļautajiem īpašajiem tehniskās pārbaudes kritērijiem, tādējādi nosakot, kuras darbības varēs kvalificēt katram vides mērķim. Tāpat programmas īstenošanas nosacījumos tiks ietverti kritēriji, lai nodrošinātu atbilstību Direktīvas 2018/2001 29.pantā noteiktajiem kritērijiem un izmantojot šķeldu, tai jāatbilst SEG emisiju ietaupījumam 80%. Atbilstība minētajiem kritērijiem tiks pamatota  Enerģētikas likumā noteiktajā kārtībā.</w:t>
            </w:r>
          </w:p>
          <w:p w14:paraId="596CE9E0" w14:textId="77777777" w:rsidR="002B083C" w:rsidRPr="001777A8" w:rsidRDefault="002B083C" w:rsidP="00076ADD">
            <w:pPr>
              <w:spacing w:line="240" w:lineRule="auto"/>
              <w:rPr>
                <w:sz w:val="20"/>
                <w:szCs w:val="20"/>
                <w:lang w:eastAsia="lv-LV"/>
              </w:rPr>
            </w:pPr>
          </w:p>
        </w:tc>
      </w:tr>
    </w:tbl>
    <w:p w14:paraId="12D50C0B" w14:textId="77777777" w:rsidR="0034733C" w:rsidRDefault="0034733C"/>
    <w:sectPr w:rsidR="0034733C" w:rsidSect="002B083C">
      <w:pgSz w:w="16838" w:h="11906" w:orient="landscape"/>
      <w:pgMar w:top="1800" w:right="1440" w:bottom="180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6CD50A" w16cex:dateUtc="2021-12-21T20:34:00Z"/>
  <w16cex:commentExtensible w16cex:durableId="25917DFB" w16cex:dateUtc="2022-01-18T15: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284985D" w16cid:durableId="256CD50A"/>
  <w16cid:commentId w16cid:paraId="6A2A5EC9" w16cid:durableId="25917DFB"/>
  <w16cid:commentId w16cid:paraId="1DC0C4B0" w16cid:durableId="259A553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161A9"/>
    <w:multiLevelType w:val="hybridMultilevel"/>
    <w:tmpl w:val="FFFFFFFF"/>
    <w:lvl w:ilvl="0" w:tplc="93B02F22">
      <w:start w:val="1"/>
      <w:numFmt w:val="bullet"/>
      <w:lvlText w:val="·"/>
      <w:lvlJc w:val="left"/>
      <w:pPr>
        <w:ind w:left="720" w:hanging="360"/>
      </w:pPr>
      <w:rPr>
        <w:rFonts w:ascii="Symbol" w:hAnsi="Symbol" w:hint="default"/>
      </w:rPr>
    </w:lvl>
    <w:lvl w:ilvl="1" w:tplc="77BAA942">
      <w:start w:val="1"/>
      <w:numFmt w:val="bullet"/>
      <w:lvlText w:val="o"/>
      <w:lvlJc w:val="left"/>
      <w:pPr>
        <w:ind w:left="1440" w:hanging="360"/>
      </w:pPr>
      <w:rPr>
        <w:rFonts w:ascii="Courier New" w:hAnsi="Courier New" w:hint="default"/>
      </w:rPr>
    </w:lvl>
    <w:lvl w:ilvl="2" w:tplc="D0307276">
      <w:start w:val="1"/>
      <w:numFmt w:val="bullet"/>
      <w:lvlText w:val=""/>
      <w:lvlJc w:val="left"/>
      <w:pPr>
        <w:ind w:left="2160" w:hanging="360"/>
      </w:pPr>
      <w:rPr>
        <w:rFonts w:ascii="Wingdings" w:hAnsi="Wingdings" w:hint="default"/>
      </w:rPr>
    </w:lvl>
    <w:lvl w:ilvl="3" w:tplc="7A408EE2">
      <w:start w:val="1"/>
      <w:numFmt w:val="bullet"/>
      <w:lvlText w:val=""/>
      <w:lvlJc w:val="left"/>
      <w:pPr>
        <w:ind w:left="2880" w:hanging="360"/>
      </w:pPr>
      <w:rPr>
        <w:rFonts w:ascii="Symbol" w:hAnsi="Symbol" w:hint="default"/>
      </w:rPr>
    </w:lvl>
    <w:lvl w:ilvl="4" w:tplc="EAA0908A">
      <w:start w:val="1"/>
      <w:numFmt w:val="bullet"/>
      <w:lvlText w:val="o"/>
      <w:lvlJc w:val="left"/>
      <w:pPr>
        <w:ind w:left="3600" w:hanging="360"/>
      </w:pPr>
      <w:rPr>
        <w:rFonts w:ascii="Courier New" w:hAnsi="Courier New" w:hint="default"/>
      </w:rPr>
    </w:lvl>
    <w:lvl w:ilvl="5" w:tplc="A23A119E">
      <w:start w:val="1"/>
      <w:numFmt w:val="bullet"/>
      <w:lvlText w:val=""/>
      <w:lvlJc w:val="left"/>
      <w:pPr>
        <w:ind w:left="4320" w:hanging="360"/>
      </w:pPr>
      <w:rPr>
        <w:rFonts w:ascii="Wingdings" w:hAnsi="Wingdings" w:hint="default"/>
      </w:rPr>
    </w:lvl>
    <w:lvl w:ilvl="6" w:tplc="38046304">
      <w:start w:val="1"/>
      <w:numFmt w:val="bullet"/>
      <w:lvlText w:val=""/>
      <w:lvlJc w:val="left"/>
      <w:pPr>
        <w:ind w:left="5040" w:hanging="360"/>
      </w:pPr>
      <w:rPr>
        <w:rFonts w:ascii="Symbol" w:hAnsi="Symbol" w:hint="default"/>
      </w:rPr>
    </w:lvl>
    <w:lvl w:ilvl="7" w:tplc="0EBCB6D2">
      <w:start w:val="1"/>
      <w:numFmt w:val="bullet"/>
      <w:lvlText w:val="o"/>
      <w:lvlJc w:val="left"/>
      <w:pPr>
        <w:ind w:left="5760" w:hanging="360"/>
      </w:pPr>
      <w:rPr>
        <w:rFonts w:ascii="Courier New" w:hAnsi="Courier New" w:hint="default"/>
      </w:rPr>
    </w:lvl>
    <w:lvl w:ilvl="8" w:tplc="2B5A96C4">
      <w:start w:val="1"/>
      <w:numFmt w:val="bullet"/>
      <w:lvlText w:val=""/>
      <w:lvlJc w:val="left"/>
      <w:pPr>
        <w:ind w:left="6480" w:hanging="360"/>
      </w:pPr>
      <w:rPr>
        <w:rFonts w:ascii="Wingdings" w:hAnsi="Wingdings" w:hint="default"/>
      </w:rPr>
    </w:lvl>
  </w:abstractNum>
  <w:abstractNum w:abstractNumId="1" w15:restartNumberingAfterBreak="0">
    <w:nsid w:val="29CE0381"/>
    <w:multiLevelType w:val="hybridMultilevel"/>
    <w:tmpl w:val="FFFFFFFF"/>
    <w:lvl w:ilvl="0" w:tplc="24B0BCB6">
      <w:start w:val="1"/>
      <w:numFmt w:val="bullet"/>
      <w:lvlText w:val="·"/>
      <w:lvlJc w:val="left"/>
      <w:pPr>
        <w:ind w:left="720" w:hanging="360"/>
      </w:pPr>
      <w:rPr>
        <w:rFonts w:ascii="Symbol" w:hAnsi="Symbol" w:hint="default"/>
      </w:rPr>
    </w:lvl>
    <w:lvl w:ilvl="1" w:tplc="49221D06">
      <w:start w:val="1"/>
      <w:numFmt w:val="bullet"/>
      <w:lvlText w:val="o"/>
      <w:lvlJc w:val="left"/>
      <w:pPr>
        <w:ind w:left="1440" w:hanging="360"/>
      </w:pPr>
      <w:rPr>
        <w:rFonts w:ascii="Courier New" w:hAnsi="Courier New" w:hint="default"/>
      </w:rPr>
    </w:lvl>
    <w:lvl w:ilvl="2" w:tplc="E3585B2C">
      <w:start w:val="1"/>
      <w:numFmt w:val="bullet"/>
      <w:lvlText w:val=""/>
      <w:lvlJc w:val="left"/>
      <w:pPr>
        <w:ind w:left="2160" w:hanging="360"/>
      </w:pPr>
      <w:rPr>
        <w:rFonts w:ascii="Wingdings" w:hAnsi="Wingdings" w:hint="default"/>
      </w:rPr>
    </w:lvl>
    <w:lvl w:ilvl="3" w:tplc="1444F426">
      <w:start w:val="1"/>
      <w:numFmt w:val="bullet"/>
      <w:lvlText w:val=""/>
      <w:lvlJc w:val="left"/>
      <w:pPr>
        <w:ind w:left="2880" w:hanging="360"/>
      </w:pPr>
      <w:rPr>
        <w:rFonts w:ascii="Symbol" w:hAnsi="Symbol" w:hint="default"/>
      </w:rPr>
    </w:lvl>
    <w:lvl w:ilvl="4" w:tplc="EC68F50A">
      <w:start w:val="1"/>
      <w:numFmt w:val="bullet"/>
      <w:lvlText w:val="o"/>
      <w:lvlJc w:val="left"/>
      <w:pPr>
        <w:ind w:left="3600" w:hanging="360"/>
      </w:pPr>
      <w:rPr>
        <w:rFonts w:ascii="Courier New" w:hAnsi="Courier New" w:hint="default"/>
      </w:rPr>
    </w:lvl>
    <w:lvl w:ilvl="5" w:tplc="232A7710">
      <w:start w:val="1"/>
      <w:numFmt w:val="bullet"/>
      <w:lvlText w:val=""/>
      <w:lvlJc w:val="left"/>
      <w:pPr>
        <w:ind w:left="4320" w:hanging="360"/>
      </w:pPr>
      <w:rPr>
        <w:rFonts w:ascii="Wingdings" w:hAnsi="Wingdings" w:hint="default"/>
      </w:rPr>
    </w:lvl>
    <w:lvl w:ilvl="6" w:tplc="192ABF54">
      <w:start w:val="1"/>
      <w:numFmt w:val="bullet"/>
      <w:lvlText w:val=""/>
      <w:lvlJc w:val="left"/>
      <w:pPr>
        <w:ind w:left="5040" w:hanging="360"/>
      </w:pPr>
      <w:rPr>
        <w:rFonts w:ascii="Symbol" w:hAnsi="Symbol" w:hint="default"/>
      </w:rPr>
    </w:lvl>
    <w:lvl w:ilvl="7" w:tplc="85FEC196">
      <w:start w:val="1"/>
      <w:numFmt w:val="bullet"/>
      <w:lvlText w:val="o"/>
      <w:lvlJc w:val="left"/>
      <w:pPr>
        <w:ind w:left="5760" w:hanging="360"/>
      </w:pPr>
      <w:rPr>
        <w:rFonts w:ascii="Courier New" w:hAnsi="Courier New" w:hint="default"/>
      </w:rPr>
    </w:lvl>
    <w:lvl w:ilvl="8" w:tplc="4EC8CA1A">
      <w:start w:val="1"/>
      <w:numFmt w:val="bullet"/>
      <w:lvlText w:val=""/>
      <w:lvlJc w:val="left"/>
      <w:pPr>
        <w:ind w:left="6480" w:hanging="360"/>
      </w:pPr>
      <w:rPr>
        <w:rFonts w:ascii="Wingdings" w:hAnsi="Wingdings" w:hint="default"/>
      </w:rPr>
    </w:lvl>
  </w:abstractNum>
  <w:abstractNum w:abstractNumId="2" w15:restartNumberingAfterBreak="0">
    <w:nsid w:val="31B81BE5"/>
    <w:multiLevelType w:val="hybridMultilevel"/>
    <w:tmpl w:val="FFFFFFFF"/>
    <w:lvl w:ilvl="0" w:tplc="983A7708">
      <w:start w:val="1"/>
      <w:numFmt w:val="bullet"/>
      <w:lvlText w:val="·"/>
      <w:lvlJc w:val="left"/>
      <w:pPr>
        <w:ind w:left="720" w:hanging="360"/>
      </w:pPr>
      <w:rPr>
        <w:rFonts w:ascii="Symbol" w:hAnsi="Symbol" w:hint="default"/>
      </w:rPr>
    </w:lvl>
    <w:lvl w:ilvl="1" w:tplc="FF1C6CB6">
      <w:start w:val="1"/>
      <w:numFmt w:val="bullet"/>
      <w:lvlText w:val="o"/>
      <w:lvlJc w:val="left"/>
      <w:pPr>
        <w:ind w:left="1440" w:hanging="360"/>
      </w:pPr>
      <w:rPr>
        <w:rFonts w:ascii="Courier New" w:hAnsi="Courier New" w:hint="default"/>
      </w:rPr>
    </w:lvl>
    <w:lvl w:ilvl="2" w:tplc="DBDACC30">
      <w:start w:val="1"/>
      <w:numFmt w:val="bullet"/>
      <w:lvlText w:val=""/>
      <w:lvlJc w:val="left"/>
      <w:pPr>
        <w:ind w:left="2160" w:hanging="360"/>
      </w:pPr>
      <w:rPr>
        <w:rFonts w:ascii="Wingdings" w:hAnsi="Wingdings" w:hint="default"/>
      </w:rPr>
    </w:lvl>
    <w:lvl w:ilvl="3" w:tplc="0C2C510C">
      <w:start w:val="1"/>
      <w:numFmt w:val="bullet"/>
      <w:lvlText w:val=""/>
      <w:lvlJc w:val="left"/>
      <w:pPr>
        <w:ind w:left="2880" w:hanging="360"/>
      </w:pPr>
      <w:rPr>
        <w:rFonts w:ascii="Symbol" w:hAnsi="Symbol" w:hint="default"/>
      </w:rPr>
    </w:lvl>
    <w:lvl w:ilvl="4" w:tplc="AD28723A">
      <w:start w:val="1"/>
      <w:numFmt w:val="bullet"/>
      <w:lvlText w:val="o"/>
      <w:lvlJc w:val="left"/>
      <w:pPr>
        <w:ind w:left="3600" w:hanging="360"/>
      </w:pPr>
      <w:rPr>
        <w:rFonts w:ascii="Courier New" w:hAnsi="Courier New" w:hint="default"/>
      </w:rPr>
    </w:lvl>
    <w:lvl w:ilvl="5" w:tplc="975A005C">
      <w:start w:val="1"/>
      <w:numFmt w:val="bullet"/>
      <w:lvlText w:val=""/>
      <w:lvlJc w:val="left"/>
      <w:pPr>
        <w:ind w:left="4320" w:hanging="360"/>
      </w:pPr>
      <w:rPr>
        <w:rFonts w:ascii="Wingdings" w:hAnsi="Wingdings" w:hint="default"/>
      </w:rPr>
    </w:lvl>
    <w:lvl w:ilvl="6" w:tplc="4614FBFE">
      <w:start w:val="1"/>
      <w:numFmt w:val="bullet"/>
      <w:lvlText w:val=""/>
      <w:lvlJc w:val="left"/>
      <w:pPr>
        <w:ind w:left="5040" w:hanging="360"/>
      </w:pPr>
      <w:rPr>
        <w:rFonts w:ascii="Symbol" w:hAnsi="Symbol" w:hint="default"/>
      </w:rPr>
    </w:lvl>
    <w:lvl w:ilvl="7" w:tplc="E1309212">
      <w:start w:val="1"/>
      <w:numFmt w:val="bullet"/>
      <w:lvlText w:val="o"/>
      <w:lvlJc w:val="left"/>
      <w:pPr>
        <w:ind w:left="5760" w:hanging="360"/>
      </w:pPr>
      <w:rPr>
        <w:rFonts w:ascii="Courier New" w:hAnsi="Courier New" w:hint="default"/>
      </w:rPr>
    </w:lvl>
    <w:lvl w:ilvl="8" w:tplc="5F18AF56">
      <w:start w:val="1"/>
      <w:numFmt w:val="bullet"/>
      <w:lvlText w:val=""/>
      <w:lvlJc w:val="left"/>
      <w:pPr>
        <w:ind w:left="6480" w:hanging="360"/>
      </w:pPr>
      <w:rPr>
        <w:rFonts w:ascii="Wingdings" w:hAnsi="Wingdings" w:hint="default"/>
      </w:rPr>
    </w:lvl>
  </w:abstractNum>
  <w:abstractNum w:abstractNumId="3" w15:restartNumberingAfterBreak="0">
    <w:nsid w:val="41565209"/>
    <w:multiLevelType w:val="hybridMultilevel"/>
    <w:tmpl w:val="B5F070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496D1799"/>
    <w:multiLevelType w:val="hybridMultilevel"/>
    <w:tmpl w:val="FFFFFFFF"/>
    <w:lvl w:ilvl="0" w:tplc="02027984">
      <w:start w:val="1"/>
      <w:numFmt w:val="bullet"/>
      <w:lvlText w:val="·"/>
      <w:lvlJc w:val="left"/>
      <w:pPr>
        <w:ind w:left="720" w:hanging="360"/>
      </w:pPr>
      <w:rPr>
        <w:rFonts w:ascii="Symbol" w:hAnsi="Symbol" w:hint="default"/>
      </w:rPr>
    </w:lvl>
    <w:lvl w:ilvl="1" w:tplc="2BBC35A8">
      <w:start w:val="1"/>
      <w:numFmt w:val="bullet"/>
      <w:lvlText w:val="o"/>
      <w:lvlJc w:val="left"/>
      <w:pPr>
        <w:ind w:left="1440" w:hanging="360"/>
      </w:pPr>
      <w:rPr>
        <w:rFonts w:ascii="Courier New" w:hAnsi="Courier New" w:hint="default"/>
      </w:rPr>
    </w:lvl>
    <w:lvl w:ilvl="2" w:tplc="C1BE2D18">
      <w:start w:val="1"/>
      <w:numFmt w:val="bullet"/>
      <w:lvlText w:val=""/>
      <w:lvlJc w:val="left"/>
      <w:pPr>
        <w:ind w:left="2160" w:hanging="360"/>
      </w:pPr>
      <w:rPr>
        <w:rFonts w:ascii="Wingdings" w:hAnsi="Wingdings" w:hint="default"/>
      </w:rPr>
    </w:lvl>
    <w:lvl w:ilvl="3" w:tplc="7728BE34">
      <w:start w:val="1"/>
      <w:numFmt w:val="bullet"/>
      <w:lvlText w:val=""/>
      <w:lvlJc w:val="left"/>
      <w:pPr>
        <w:ind w:left="2880" w:hanging="360"/>
      </w:pPr>
      <w:rPr>
        <w:rFonts w:ascii="Symbol" w:hAnsi="Symbol" w:hint="default"/>
      </w:rPr>
    </w:lvl>
    <w:lvl w:ilvl="4" w:tplc="65F4CF52">
      <w:start w:val="1"/>
      <w:numFmt w:val="bullet"/>
      <w:lvlText w:val="o"/>
      <w:lvlJc w:val="left"/>
      <w:pPr>
        <w:ind w:left="3600" w:hanging="360"/>
      </w:pPr>
      <w:rPr>
        <w:rFonts w:ascii="Courier New" w:hAnsi="Courier New" w:hint="default"/>
      </w:rPr>
    </w:lvl>
    <w:lvl w:ilvl="5" w:tplc="3C90D842">
      <w:start w:val="1"/>
      <w:numFmt w:val="bullet"/>
      <w:lvlText w:val=""/>
      <w:lvlJc w:val="left"/>
      <w:pPr>
        <w:ind w:left="4320" w:hanging="360"/>
      </w:pPr>
      <w:rPr>
        <w:rFonts w:ascii="Wingdings" w:hAnsi="Wingdings" w:hint="default"/>
      </w:rPr>
    </w:lvl>
    <w:lvl w:ilvl="6" w:tplc="E01AFB96">
      <w:start w:val="1"/>
      <w:numFmt w:val="bullet"/>
      <w:lvlText w:val=""/>
      <w:lvlJc w:val="left"/>
      <w:pPr>
        <w:ind w:left="5040" w:hanging="360"/>
      </w:pPr>
      <w:rPr>
        <w:rFonts w:ascii="Symbol" w:hAnsi="Symbol" w:hint="default"/>
      </w:rPr>
    </w:lvl>
    <w:lvl w:ilvl="7" w:tplc="469C4E4E">
      <w:start w:val="1"/>
      <w:numFmt w:val="bullet"/>
      <w:lvlText w:val="o"/>
      <w:lvlJc w:val="left"/>
      <w:pPr>
        <w:ind w:left="5760" w:hanging="360"/>
      </w:pPr>
      <w:rPr>
        <w:rFonts w:ascii="Courier New" w:hAnsi="Courier New" w:hint="default"/>
      </w:rPr>
    </w:lvl>
    <w:lvl w:ilvl="8" w:tplc="61A0A390">
      <w:start w:val="1"/>
      <w:numFmt w:val="bullet"/>
      <w:lvlText w:val=""/>
      <w:lvlJc w:val="left"/>
      <w:pPr>
        <w:ind w:left="6480" w:hanging="360"/>
      </w:pPr>
      <w:rPr>
        <w:rFonts w:ascii="Wingdings" w:hAnsi="Wingdings" w:hint="default"/>
      </w:rPr>
    </w:lvl>
  </w:abstractNum>
  <w:abstractNum w:abstractNumId="5" w15:restartNumberingAfterBreak="0">
    <w:nsid w:val="4B5F4A07"/>
    <w:multiLevelType w:val="multilevel"/>
    <w:tmpl w:val="871A915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6244214E"/>
    <w:multiLevelType w:val="multilevel"/>
    <w:tmpl w:val="B06A66C6"/>
    <w:lvl w:ilvl="0">
      <w:numFmt w:val="bullet"/>
      <w:lvlText w:val=""/>
      <w:lvlJc w:val="left"/>
      <w:pPr>
        <w:ind w:left="753" w:hanging="360"/>
      </w:pPr>
      <w:rPr>
        <w:rFonts w:ascii="Symbol" w:hAnsi="Symbol"/>
      </w:rPr>
    </w:lvl>
    <w:lvl w:ilvl="1">
      <w:numFmt w:val="bullet"/>
      <w:lvlText w:val="o"/>
      <w:lvlJc w:val="left"/>
      <w:pPr>
        <w:ind w:left="1473" w:hanging="360"/>
      </w:pPr>
      <w:rPr>
        <w:rFonts w:ascii="Courier New" w:hAnsi="Courier New" w:cs="Courier New"/>
      </w:rPr>
    </w:lvl>
    <w:lvl w:ilvl="2">
      <w:numFmt w:val="bullet"/>
      <w:lvlText w:val=""/>
      <w:lvlJc w:val="left"/>
      <w:pPr>
        <w:ind w:left="2193" w:hanging="360"/>
      </w:pPr>
      <w:rPr>
        <w:rFonts w:ascii="Wingdings" w:hAnsi="Wingdings"/>
      </w:rPr>
    </w:lvl>
    <w:lvl w:ilvl="3">
      <w:numFmt w:val="bullet"/>
      <w:lvlText w:val=""/>
      <w:lvlJc w:val="left"/>
      <w:pPr>
        <w:ind w:left="2913" w:hanging="360"/>
      </w:pPr>
      <w:rPr>
        <w:rFonts w:ascii="Symbol" w:hAnsi="Symbol"/>
      </w:rPr>
    </w:lvl>
    <w:lvl w:ilvl="4">
      <w:numFmt w:val="bullet"/>
      <w:lvlText w:val="o"/>
      <w:lvlJc w:val="left"/>
      <w:pPr>
        <w:ind w:left="3633" w:hanging="360"/>
      </w:pPr>
      <w:rPr>
        <w:rFonts w:ascii="Courier New" w:hAnsi="Courier New" w:cs="Courier New"/>
      </w:rPr>
    </w:lvl>
    <w:lvl w:ilvl="5">
      <w:numFmt w:val="bullet"/>
      <w:lvlText w:val=""/>
      <w:lvlJc w:val="left"/>
      <w:pPr>
        <w:ind w:left="4353" w:hanging="360"/>
      </w:pPr>
      <w:rPr>
        <w:rFonts w:ascii="Wingdings" w:hAnsi="Wingdings"/>
      </w:rPr>
    </w:lvl>
    <w:lvl w:ilvl="6">
      <w:numFmt w:val="bullet"/>
      <w:lvlText w:val=""/>
      <w:lvlJc w:val="left"/>
      <w:pPr>
        <w:ind w:left="5073" w:hanging="360"/>
      </w:pPr>
      <w:rPr>
        <w:rFonts w:ascii="Symbol" w:hAnsi="Symbol"/>
      </w:rPr>
    </w:lvl>
    <w:lvl w:ilvl="7">
      <w:numFmt w:val="bullet"/>
      <w:lvlText w:val="o"/>
      <w:lvlJc w:val="left"/>
      <w:pPr>
        <w:ind w:left="5793" w:hanging="360"/>
      </w:pPr>
      <w:rPr>
        <w:rFonts w:ascii="Courier New" w:hAnsi="Courier New" w:cs="Courier New"/>
      </w:rPr>
    </w:lvl>
    <w:lvl w:ilvl="8">
      <w:numFmt w:val="bullet"/>
      <w:lvlText w:val=""/>
      <w:lvlJc w:val="left"/>
      <w:pPr>
        <w:ind w:left="6513" w:hanging="360"/>
      </w:pPr>
      <w:rPr>
        <w:rFonts w:ascii="Wingdings" w:hAnsi="Wingdings"/>
      </w:rPr>
    </w:lvl>
  </w:abstractNum>
  <w:abstractNum w:abstractNumId="7"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hint="default"/>
      </w:rPr>
    </w:lvl>
    <w:lvl w:ilvl="8" w:tplc="5656BD18">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4"/>
  </w:num>
  <w:num w:numId="4">
    <w:abstractNumId w:val="2"/>
  </w:num>
  <w:num w:numId="5">
    <w:abstractNumId w:val="0"/>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83C"/>
    <w:rsid w:val="00014040"/>
    <w:rsid w:val="000974C9"/>
    <w:rsid w:val="001A2F43"/>
    <w:rsid w:val="001E5788"/>
    <w:rsid w:val="002B083C"/>
    <w:rsid w:val="0034733C"/>
    <w:rsid w:val="003D63FD"/>
    <w:rsid w:val="005846DD"/>
    <w:rsid w:val="00607616"/>
    <w:rsid w:val="0061797B"/>
    <w:rsid w:val="00662586"/>
    <w:rsid w:val="006C2A49"/>
    <w:rsid w:val="0077588A"/>
    <w:rsid w:val="00846647"/>
    <w:rsid w:val="00930C91"/>
    <w:rsid w:val="009A008C"/>
    <w:rsid w:val="00A4585B"/>
    <w:rsid w:val="00AA1497"/>
    <w:rsid w:val="00C36AFA"/>
    <w:rsid w:val="00D16FB7"/>
    <w:rsid w:val="00DA0CD5"/>
    <w:rsid w:val="00EC0159"/>
    <w:rsid w:val="00EC3E60"/>
    <w:rsid w:val="00F96C01"/>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5ECAB"/>
  <w15:chartTrackingRefBased/>
  <w15:docId w15:val="{5AF92384-9A10-4CAF-B309-8C318DA6B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083C"/>
    <w:pPr>
      <w:spacing w:after="0"/>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2B083C"/>
    <w:pPr>
      <w:ind w:left="720"/>
      <w:contextualSpacing/>
    </w:pPr>
    <w:rPr>
      <w:rFonts w:cstheme="minorBidi"/>
      <w:szCs w:val="22"/>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2B083C"/>
    <w:rPr>
      <w:rFonts w:ascii="Times New Roman" w:hAnsi="Times New Roman"/>
      <w:sz w:val="24"/>
      <w:lang w:val="en-US"/>
    </w:rPr>
  </w:style>
  <w:style w:type="character" w:styleId="CommentReference">
    <w:name w:val="annotation reference"/>
    <w:basedOn w:val="DefaultParagraphFont"/>
    <w:uiPriority w:val="99"/>
    <w:semiHidden/>
    <w:unhideWhenUsed/>
    <w:rsid w:val="00F96C01"/>
    <w:rPr>
      <w:sz w:val="16"/>
      <w:szCs w:val="16"/>
    </w:rPr>
  </w:style>
  <w:style w:type="paragraph" w:styleId="CommentText">
    <w:name w:val="annotation text"/>
    <w:basedOn w:val="Normal"/>
    <w:link w:val="CommentTextChar"/>
    <w:uiPriority w:val="99"/>
    <w:unhideWhenUsed/>
    <w:rsid w:val="00F96C01"/>
    <w:pPr>
      <w:spacing w:line="240" w:lineRule="auto"/>
    </w:pPr>
    <w:rPr>
      <w:sz w:val="20"/>
      <w:szCs w:val="20"/>
    </w:rPr>
  </w:style>
  <w:style w:type="character" w:customStyle="1" w:styleId="CommentTextChar">
    <w:name w:val="Comment Text Char"/>
    <w:basedOn w:val="DefaultParagraphFont"/>
    <w:link w:val="CommentText"/>
    <w:uiPriority w:val="99"/>
    <w:rsid w:val="00F96C01"/>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96C01"/>
    <w:rPr>
      <w:b/>
      <w:bCs/>
    </w:rPr>
  </w:style>
  <w:style w:type="character" w:customStyle="1" w:styleId="CommentSubjectChar">
    <w:name w:val="Comment Subject Char"/>
    <w:basedOn w:val="CommentTextChar"/>
    <w:link w:val="CommentSubject"/>
    <w:uiPriority w:val="99"/>
    <w:semiHidden/>
    <w:rsid w:val="00F96C01"/>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3D63F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63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fondi.lv/upload/2021-2027/vides-parskats_28122020.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ikumi.lv/ta/id/288575-par-apvienoto-naciju-organizacijas-visparejas-konvencijas-par-klimata-parmainam-parizes-noligum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reaties.un.org/Pages/ViewDetails.aspx?src=TREATY&amp;mtdsg_no=XXVII-7-d&amp;chapter=27&amp;clang=_en" TargetMode="External"/><Relationship Id="rId11" Type="http://schemas.openxmlformats.org/officeDocument/2006/relationships/hyperlink" Target="https://likumi.lv/ta/id/253624-noteikumi-par-atmezosanas-kompensacijas-noteiksanas-kriterijiem-aprekinasanas-un-atlidzinasanas-kartibu" TargetMode="External"/><Relationship Id="rId5" Type="http://schemas.openxmlformats.org/officeDocument/2006/relationships/hyperlink" Target="https://server.em.gov.lv/index.php/s/lzwpSQVZ9fB7eqV" TargetMode="External"/><Relationship Id="rId15" Type="http://schemas.microsoft.com/office/2016/09/relationships/commentsIds" Target="commentsIds.xml"/><Relationship Id="rId10" Type="http://schemas.openxmlformats.org/officeDocument/2006/relationships/hyperlink" Target="https://likumi.lv/ta/id/207283-ipasi-aizsargajamo-dabas-teritoriju-visparejie-aizsardzibas-un-izmantosanas-noteikumi" TargetMode="External"/><Relationship Id="rId4" Type="http://schemas.openxmlformats.org/officeDocument/2006/relationships/webSettings" Target="webSettings.xml"/><Relationship Id="rId9" Type="http://schemas.openxmlformats.org/officeDocument/2006/relationships/hyperlink" Target="https://likumi.lv/ta/id/59994-par-ipasi-aizsargajamam-dabas-teritorijam" TargetMode="Externa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10</Pages>
  <Words>16339</Words>
  <Characters>9314</Characters>
  <Application>Microsoft Office Word</Application>
  <DocSecurity>0</DocSecurity>
  <Lines>77</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Līva Zvirgzdiņa</dc:creator>
  <cp:keywords/>
  <dc:description/>
  <cp:lastModifiedBy>Finanšu ministrija</cp:lastModifiedBy>
  <cp:revision>26</cp:revision>
  <dcterms:created xsi:type="dcterms:W3CDTF">2021-12-13T10:44:00Z</dcterms:created>
  <dcterms:modified xsi:type="dcterms:W3CDTF">2022-01-25T09:38:00Z</dcterms:modified>
</cp:coreProperties>
</file>